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color w:val="auto"/>
          <w:highlight w:val="none"/>
        </w:rPr>
      </w:pPr>
      <w:bookmarkStart w:id="739" w:name="_GoBack"/>
      <w:bookmarkEnd w:id="739"/>
      <w:r>
        <w:rPr>
          <w:color w:val="auto"/>
          <w:highlight w:val="none"/>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color w:val="auto"/>
          <w:highlight w:val="none"/>
        </w:rPr>
        <w:instrText xml:space="preserve">ADDIN CNKISM.UserStyle</w:instrText>
      </w:r>
      <w:r>
        <w:rPr>
          <w:color w:val="auto"/>
          <w:highlight w:val="none"/>
        </w:rPr>
        <w:fldChar w:fldCharType="separate"/>
      </w:r>
      <w:r>
        <w:rPr>
          <w:color w:val="auto"/>
          <w:highlight w:val="none"/>
        </w:rPr>
        <w:fldChar w:fldCharType="end"/>
      </w:r>
      <w:r>
        <w:rPr>
          <w:highlight w:val="none"/>
        </w:rPr>
        <mc:AlternateContent>
          <mc:Choice Requires="wps">
            <w:drawing>
              <wp:anchor distT="0" distB="0" distL="114300" distR="114300" simplePos="0" relativeHeight="251662336" behindDoc="0" locked="0" layoutInCell="1" allowOverlap="1">
                <wp:simplePos x="0" y="0"/>
                <wp:positionH relativeFrom="page">
                  <wp:posOffset>374650</wp:posOffset>
                </wp:positionH>
                <wp:positionV relativeFrom="page">
                  <wp:posOffset>8417560</wp:posOffset>
                </wp:positionV>
                <wp:extent cx="2555875" cy="446405"/>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25560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4</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9.5pt;margin-top:662.8pt;height:35.15pt;width:201.25pt;mso-position-horizontal-relative:page;mso-position-vertical-relative:page;z-index:251662336;mso-width-relative:page;mso-height-relative:page;" filled="f" stroked="f" coordsize="21600,21600" o:gfxdata="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OH/EhncAAAADAEAAA8AAAAAAAAAAQAgAAAAOAAAAGRy&#10;cy9kb3ducmV2LnhtbFBLAQIUABQAAAAIAIdO4kDr4ulKJAIAACQEAAAOAAAAAAAAAAEAIAAAAEEB&#10;AABkcnMvZTJvRG9jLnhtbFBLBQYAAAAABgAGAFkBAADXBQ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4</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发布</w:t>
                      </w:r>
                    </w:p>
                  </w:txbxContent>
                </v:textbox>
              </v:shape>
            </w:pict>
          </mc:Fallback>
        </mc:AlternateContent>
      </w:r>
      <w:r>
        <w:rPr>
          <w:highlight w:val="none"/>
        </w:rPr>
        <mc:AlternateContent>
          <mc:Choice Requires="wps">
            <w:drawing>
              <wp:anchor distT="0" distB="0" distL="114300" distR="114300" simplePos="0" relativeHeight="251659264" behindDoc="0" locked="0" layoutInCell="1" allowOverlap="1">
                <wp:simplePos x="0" y="0"/>
                <wp:positionH relativeFrom="page">
                  <wp:posOffset>5288915</wp:posOffset>
                </wp:positionH>
                <wp:positionV relativeFrom="page">
                  <wp:posOffset>648335</wp:posOffset>
                </wp:positionV>
                <wp:extent cx="1979930" cy="134302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980000" cy="1342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sz w:val="144"/>
                                <w:szCs w:val="144"/>
                              </w:rPr>
                            </w:pPr>
                            <w:r>
                              <w:rPr>
                                <w:b/>
                                <w:bCs/>
                                <w:sz w:val="144"/>
                                <w:szCs w:val="144"/>
                              </w:rPr>
                              <w:t>SJG</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6.45pt;margin-top:51.05pt;height:105.75pt;width:155.9pt;mso-position-horizontal-relative:page;mso-position-vertical-relative:page;z-index:251659264;mso-width-relative:page;mso-height-relative:page;" filled="f" stroked="f" coordsize="21600,21600" o:gfxdata="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&#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JTqV+TcAAAADAEAAA8AAAAAAAAAAQAgAAAAOAAAAGRy&#10;cy9kb3ducmV2LnhtbFBLAQIUABQAAAAIAIdO4kCCueXyJAIAACMEAAAOAAAAAAAAAAEAIAAAAEEB&#10;AABkcnMvZTJvRG9jLnhtbFBLBQYAAAAABgAGAFkBAADXBQAAAAA=&#10;">
                <v:fill on="f" focussize="0,0"/>
                <v:stroke on="f" weight="0.5pt"/>
                <v:imagedata o:title=""/>
                <o:lock v:ext="edit" aspectratio="f"/>
                <v:textbox>
                  <w:txbxContent>
                    <w:p>
                      <w:pPr>
                        <w:rPr>
                          <w:sz w:val="144"/>
                          <w:szCs w:val="144"/>
                        </w:rPr>
                      </w:pPr>
                      <w:r>
                        <w:rPr>
                          <w:b/>
                          <w:bCs/>
                          <w:sz w:val="144"/>
                          <w:szCs w:val="144"/>
                        </w:rPr>
                        <w:t>SJG</w:t>
                      </w:r>
                    </w:p>
                  </w:txbxContent>
                </v:textbox>
              </v:shape>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page">
                  <wp:posOffset>4993640</wp:posOffset>
                </wp:positionH>
                <wp:positionV relativeFrom="page">
                  <wp:posOffset>2030730</wp:posOffset>
                </wp:positionV>
                <wp:extent cx="2181860" cy="59372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2181600" cy="5940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eastAsia="黑体"/>
                                <w:b/>
                                <w:bCs/>
                                <w:spacing w:val="20"/>
                                <w:sz w:val="48"/>
                                <w:szCs w:val="48"/>
                                <w:lang w:val="en-US" w:eastAsia="zh-CN"/>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w:t>
                            </w:r>
                            <w:r>
                              <w:rPr>
                                <w:rFonts w:hint="eastAsia" w:eastAsia="黑体"/>
                                <w:b/>
                                <w:bCs/>
                                <w:spacing w:val="-11"/>
                                <w:sz w:val="44"/>
                                <w:szCs w:val="44"/>
                                <w:lang w:val="en-US" w:eastAsia="zh-CN"/>
                              </w:rPr>
                              <w:t>4</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93.2pt;margin-top:159.9pt;height:46.75pt;width:171.8pt;mso-position-horizontal-relative:page;mso-position-vertical-relative:page;z-index:251660288;mso-width-relative:page;mso-height-relative:page;" filled="f" stroked="f" coordsize="21600,21600" o:gfxdata="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&#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P3VYq3QAAAAwBAAAPAAAAAAAAAAEAIAAAADgAAABk&#10;cnMvZG93bnJldi54bWxQSwECFAAUAAAACACHTuJAWowyOCQCAAAiBAAADgAAAAAAAAABACAAAABC&#10;AQAAZHJzL2Uyb0RvYy54bWxQSwUGAAAAAAYABgBZAQAA2AUAAAAA&#10;">
                <v:fill on="f" focussize="0,0"/>
                <v:stroke on="f" weight="0.5pt"/>
                <v:imagedata o:title=""/>
                <o:lock v:ext="edit" aspectratio="f"/>
                <v:textbox>
                  <w:txbxContent>
                    <w:p>
                      <w:pPr>
                        <w:jc w:val="distribute"/>
                        <w:rPr>
                          <w:rFonts w:hint="eastAsia" w:eastAsia="黑体"/>
                          <w:b/>
                          <w:bCs/>
                          <w:spacing w:val="20"/>
                          <w:sz w:val="48"/>
                          <w:szCs w:val="48"/>
                          <w:lang w:val="en-US" w:eastAsia="zh-CN"/>
                        </w:rPr>
                      </w:pPr>
                      <w:r>
                        <w:rPr>
                          <w:rFonts w:eastAsia="黑体"/>
                          <w:b/>
                          <w:bCs/>
                          <w:spacing w:val="-11"/>
                          <w:sz w:val="44"/>
                          <w:szCs w:val="44"/>
                        </w:rPr>
                        <w:t xml:space="preserve">SJG XXX </w:t>
                      </w:r>
                      <w:r>
                        <w:rPr>
                          <w:b/>
                          <w:bCs/>
                          <w:spacing w:val="-11"/>
                          <w:sz w:val="44"/>
                          <w:szCs w:val="44"/>
                        </w:rPr>
                        <w:t>–</w:t>
                      </w:r>
                      <w:r>
                        <w:rPr>
                          <w:rFonts w:eastAsia="黑体"/>
                          <w:b/>
                          <w:bCs/>
                          <w:spacing w:val="-11"/>
                          <w:sz w:val="44"/>
                          <w:szCs w:val="44"/>
                        </w:rPr>
                        <w:t xml:space="preserve"> 202</w:t>
                      </w:r>
                      <w:r>
                        <w:rPr>
                          <w:rFonts w:hint="eastAsia" w:eastAsia="黑体"/>
                          <w:b/>
                          <w:bCs/>
                          <w:spacing w:val="-11"/>
                          <w:sz w:val="44"/>
                          <w:szCs w:val="44"/>
                          <w:lang w:val="en-US" w:eastAsia="zh-CN"/>
                        </w:rPr>
                        <w:t>4</w:t>
                      </w:r>
                    </w:p>
                  </w:txbxContent>
                </v:textbox>
              </v:shape>
            </w:pict>
          </mc:Fallback>
        </mc:AlternateContent>
      </w:r>
      <w:r>
        <w:rPr>
          <w:highlight w:val="none"/>
        </w:rPr>
        <mc:AlternateContent>
          <mc:Choice Requires="wps">
            <w:drawing>
              <wp:anchor distT="0" distB="0" distL="114300" distR="114300" simplePos="0" relativeHeight="251666432" behindDoc="0" locked="0" layoutInCell="1" allowOverlap="1">
                <wp:simplePos x="0" y="0"/>
                <wp:positionH relativeFrom="page">
                  <wp:posOffset>-93345</wp:posOffset>
                </wp:positionH>
                <wp:positionV relativeFrom="page">
                  <wp:posOffset>2642870</wp:posOffset>
                </wp:positionV>
                <wp:extent cx="77184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77184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35pt;margin-top:208.1pt;height:0pt;width:607.75pt;mso-position-horizontal-relative:page;mso-position-vertical-relative:page;z-index:251666432;mso-width-relative:page;mso-height-relative:page;" filled="f" stroked="t" coordsize="21600,21600" o:gfxdata="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up&#10;R27WAAAADAEAAA8AAAAAAAAAAQAgAAAAOAAAAGRycy9kb3ducmV2LnhtbFBLAQIUABQAAAAIAIdO&#10;4kC+melI1gEAAJkDAAAOAAAAAAAAAAEAIAAAADsBAABkcnMvZTJvRG9jLnhtbFBLBQYAAAAABgAG&#10;AFkBAACDBQAAAAA=&#10;">
                <v:fill on="f" focussize="0,0"/>
                <v:stroke weight="1.5pt" color="#000000" joinstyle="round"/>
                <v:imagedata o:title=""/>
                <o:lock v:ext="edit" aspectratio="f"/>
              </v:line>
            </w:pict>
          </mc:Fallback>
        </mc:AlternateContent>
      </w:r>
      <w:r>
        <w:rPr>
          <w:highlight w:val="none"/>
        </w:rPr>
        <mc:AlternateContent>
          <mc:Choice Requires="wps">
            <w:drawing>
              <wp:anchor distT="0" distB="0" distL="114300" distR="114300" simplePos="0" relativeHeight="251663360" behindDoc="0" locked="0" layoutInCell="1" allowOverlap="1">
                <wp:simplePos x="0" y="0"/>
                <wp:positionH relativeFrom="page">
                  <wp:posOffset>4561840</wp:posOffset>
                </wp:positionH>
                <wp:positionV relativeFrom="page">
                  <wp:posOffset>8417560</wp:posOffset>
                </wp:positionV>
                <wp:extent cx="2577465" cy="446405"/>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2577600" cy="446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4</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9.2pt;margin-top:662.8pt;height:35.15pt;width:202.95pt;mso-position-horizontal-relative:page;mso-position-vertical-relative:page;z-index:251663360;mso-width-relative:page;mso-height-relative:page;" filled="f" stroked="f" coordsize="21600,21600" o:gfxdata="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M01Lzd4AAAAOAQAADwAAAAAAAAABACAAAAA4AAAA&#10;ZHJzL2Rvd25yZXYueG1sUEsBAhQAFAAAAAgAh07iQKVMrQEkAgAAJAQAAA4AAAAAAAAAAQAgAAAA&#10;QwEAAGRycy9lMm9Eb2MueG1sUEsFBgAAAAAGAAYAWQEAANkFAAAAAA==&#10;">
                <v:fill on="f" focussize="0,0"/>
                <v:stroke on="f" weight="0.5pt"/>
                <v:imagedata o:title=""/>
                <o:lock v:ext="edit" aspectratio="f"/>
                <v:textbox>
                  <w:txbxContent>
                    <w:p>
                      <w:pPr>
                        <w:jc w:val="distribute"/>
                        <w:rPr>
                          <w:rFonts w:ascii="宋体" w:hAnsi="宋体" w:cs="宋体"/>
                          <w:b/>
                          <w:bCs/>
                          <w:sz w:val="40"/>
                          <w:szCs w:val="40"/>
                        </w:rPr>
                      </w:pPr>
                      <w:r>
                        <w:rPr>
                          <w:b/>
                          <w:bCs/>
                          <w:sz w:val="40"/>
                          <w:szCs w:val="40"/>
                        </w:rPr>
                        <w:t>202</w:t>
                      </w:r>
                      <w:r>
                        <w:rPr>
                          <w:rFonts w:hint="eastAsia"/>
                          <w:b/>
                          <w:bCs/>
                          <w:sz w:val="40"/>
                          <w:szCs w:val="40"/>
                          <w:lang w:val="en-US" w:eastAsia="zh-CN"/>
                        </w:rPr>
                        <w:t>4</w:t>
                      </w:r>
                      <w:r>
                        <w:rPr>
                          <w:rFonts w:hint="eastAsia" w:ascii="宋体" w:hAnsi="宋体" w:cs="宋体"/>
                          <w:b/>
                          <w:bCs/>
                          <w:spacing w:val="-11"/>
                          <w:sz w:val="40"/>
                          <w:szCs w:val="40"/>
                        </w:rPr>
                        <w:t>-</w:t>
                      </w:r>
                      <w:r>
                        <w:rPr>
                          <w:b/>
                          <w:bCs/>
                          <w:sz w:val="40"/>
                          <w:szCs w:val="40"/>
                        </w:rPr>
                        <w:t>XX</w:t>
                      </w:r>
                      <w:r>
                        <w:rPr>
                          <w:rFonts w:hint="eastAsia" w:ascii="宋体" w:hAnsi="宋体" w:cs="宋体"/>
                          <w:b/>
                          <w:bCs/>
                          <w:spacing w:val="-11"/>
                          <w:sz w:val="40"/>
                          <w:szCs w:val="40"/>
                        </w:rPr>
                        <w:t>-</w:t>
                      </w:r>
                      <w:r>
                        <w:rPr>
                          <w:b/>
                          <w:bCs/>
                          <w:sz w:val="40"/>
                          <w:szCs w:val="40"/>
                        </w:rPr>
                        <w:t>XX</w:t>
                      </w:r>
                      <w:r>
                        <w:rPr>
                          <w:rFonts w:hint="eastAsia" w:ascii="宋体" w:hAnsi="宋体" w:cs="宋体"/>
                          <w:b/>
                          <w:bCs/>
                          <w:sz w:val="40"/>
                          <w:szCs w:val="40"/>
                        </w:rPr>
                        <w:t xml:space="preserve"> </w:t>
                      </w:r>
                      <w:r>
                        <w:rPr>
                          <w:rFonts w:hint="eastAsia" w:ascii="黑体" w:hAnsi="黑体" w:eastAsia="黑体" w:cs="黑体"/>
                          <w:b/>
                          <w:bCs/>
                          <w:sz w:val="40"/>
                          <w:szCs w:val="40"/>
                        </w:rPr>
                        <w:t>实施</w:t>
                      </w:r>
                    </w:p>
                  </w:txbxContent>
                </v:textbox>
              </v:shape>
            </w:pict>
          </mc:Fallback>
        </mc:AlternateContent>
      </w:r>
    </w:p>
    <w:p>
      <w:pPr>
        <w:pStyle w:val="20"/>
        <w:spacing w:line="360" w:lineRule="auto"/>
        <w:jc w:val="center"/>
        <w:rPr>
          <w:rFonts w:hAnsi="黑体" w:cs="黑体"/>
          <w:spacing w:val="20"/>
          <w:sz w:val="32"/>
          <w:szCs w:val="32"/>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page">
                  <wp:posOffset>1263015</wp:posOffset>
                </wp:positionH>
                <wp:positionV relativeFrom="page">
                  <wp:posOffset>1264285</wp:posOffset>
                </wp:positionV>
                <wp:extent cx="3776980" cy="723900"/>
                <wp:effectExtent l="0" t="0" r="0" b="635"/>
                <wp:wrapNone/>
                <wp:docPr id="3" name="文本框 3"/>
                <wp:cNvGraphicFramePr/>
                <a:graphic xmlns:a="http://schemas.openxmlformats.org/drawingml/2006/main">
                  <a:graphicData uri="http://schemas.microsoft.com/office/word/2010/wordprocessingShape">
                    <wps:wsp>
                      <wps:cNvSpPr txBox="true"/>
                      <wps:spPr>
                        <a:xfrm>
                          <a:off x="0" y="0"/>
                          <a:ext cx="3776980" cy="723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9.45pt;margin-top:99.55pt;height:57pt;width:297.4pt;mso-position-horizontal-relative:page;mso-position-vertical-relative:page;z-index:251661312;mso-width-relative:page;mso-height-relative:page;" filled="f" stroked="f" coordsize="21600,21600" o:gfxdata="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&#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aCVr22gAAAAsBAAAPAAAAAAAAAAEAIAAAADgAAABk&#10;cnMvZG93bnJldi54bWxQSwECFAAUAAAACACHTuJATRjD3icCAAAiBAAADgAAAAAAAAABACAAAAA/&#10;AQAAZHJzL2Uyb0RvYy54bWxQSwUGAAAAAAYABgBZAQAA2AUAAAAA&#10;">
                <v:fill on="f" focussize="0,0"/>
                <v:stroke on="f" weight="0.5pt"/>
                <v:imagedata o:title=""/>
                <o:lock v:ext="edit" aspectratio="f"/>
                <v:textbox>
                  <w:txbxContent>
                    <w:p>
                      <w:pPr>
                        <w:jc w:val="distribute"/>
                        <w:rPr>
                          <w:rFonts w:ascii="黑体" w:hAnsi="黑体" w:eastAsia="黑体" w:cs="黑体"/>
                          <w:b/>
                          <w:bCs/>
                          <w:spacing w:val="20"/>
                          <w:sz w:val="44"/>
                          <w:szCs w:val="44"/>
                        </w:rPr>
                      </w:pPr>
                      <w:r>
                        <w:rPr>
                          <w:rFonts w:hint="eastAsia" w:ascii="黑体" w:hAnsi="黑体" w:eastAsia="黑体" w:cs="黑体"/>
                          <w:b/>
                          <w:bCs/>
                          <w:spacing w:val="20"/>
                          <w:sz w:val="44"/>
                          <w:szCs w:val="44"/>
                        </w:rPr>
                        <w:t>深圳市工程建设地方标准</w:t>
                      </w:r>
                    </w:p>
                  </w:txbxContent>
                </v:textbox>
              </v:shape>
            </w:pict>
          </mc:Fallback>
        </mc:AlternateContent>
      </w:r>
    </w:p>
    <w:p>
      <w:pPr>
        <w:pStyle w:val="18"/>
        <w:spacing w:after="240" w:line="360" w:lineRule="auto"/>
        <w:ind w:left="480"/>
        <w:jc w:val="right"/>
        <w:rPr>
          <w:rFonts w:eastAsia="黑体"/>
          <w:b/>
          <w:bCs/>
          <w:color w:val="auto"/>
          <w:spacing w:val="-11"/>
          <w:sz w:val="28"/>
          <w:szCs w:val="28"/>
          <w:highlight w:val="none"/>
        </w:rPr>
      </w:pPr>
    </w:p>
    <w:p>
      <w:pPr>
        <w:pStyle w:val="18"/>
        <w:spacing w:after="240" w:line="360" w:lineRule="auto"/>
        <w:ind w:left="480"/>
        <w:jc w:val="right"/>
        <w:rPr>
          <w:rFonts w:eastAsia="黑体"/>
          <w:b/>
          <w:bCs/>
          <w:color w:val="auto"/>
          <w:spacing w:val="-11"/>
          <w:sz w:val="28"/>
          <w:szCs w:val="28"/>
          <w:highlight w:val="none"/>
        </w:rPr>
      </w:pPr>
    </w:p>
    <w:p>
      <w:pPr>
        <w:pStyle w:val="19"/>
        <w:spacing w:line="360" w:lineRule="auto"/>
        <w:ind w:right="3840"/>
        <w:rPr>
          <w:rFonts w:eastAsia="黑体e眠副浡渀."/>
          <w:sz w:val="96"/>
          <w:szCs w:val="96"/>
          <w:highlight w:val="none"/>
        </w:rPr>
      </w:pPr>
    </w:p>
    <w:p>
      <w:pPr>
        <w:pStyle w:val="18"/>
        <w:rPr>
          <w:color w:val="auto"/>
          <w:highlight w:val="none"/>
        </w:rPr>
      </w:pPr>
      <w:r>
        <w:rPr>
          <w:highlight w:val="none"/>
        </w:rPr>
        <mc:AlternateContent>
          <mc:Choice Requires="wps">
            <w:drawing>
              <wp:anchor distT="0" distB="0" distL="114300" distR="114300" simplePos="0" relativeHeight="251668480" behindDoc="0" locked="0" layoutInCell="1" allowOverlap="1">
                <wp:simplePos x="0" y="0"/>
                <wp:positionH relativeFrom="page">
                  <wp:posOffset>1844675</wp:posOffset>
                </wp:positionH>
                <wp:positionV relativeFrom="page">
                  <wp:posOffset>3564255</wp:posOffset>
                </wp:positionV>
                <wp:extent cx="4193540" cy="131254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193540" cy="13125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宋体" w:hAnsi="宋体" w:cs="黑体"/>
                                <w:b/>
                                <w:bCs/>
                                <w:spacing w:val="20"/>
                                <w:sz w:val="56"/>
                                <w:szCs w:val="56"/>
                              </w:rPr>
                            </w:pPr>
                            <w:r>
                              <w:rPr>
                                <w:rFonts w:hint="eastAsia" w:ascii="宋体" w:hAnsi="宋体" w:cs="黑体"/>
                                <w:b/>
                                <w:bCs/>
                                <w:spacing w:val="20"/>
                                <w:sz w:val="56"/>
                                <w:szCs w:val="56"/>
                              </w:rPr>
                              <w:t>预制混凝土构件生产</w:t>
                            </w:r>
                          </w:p>
                          <w:p>
                            <w:pPr>
                              <w:jc w:val="center"/>
                              <w:rPr>
                                <w:rFonts w:ascii="宋体" w:hAnsi="宋体" w:cs="黑体"/>
                                <w:b/>
                                <w:bCs/>
                                <w:spacing w:val="20"/>
                                <w:sz w:val="56"/>
                                <w:szCs w:val="56"/>
                              </w:rPr>
                            </w:pPr>
                            <w:r>
                              <w:rPr>
                                <w:rFonts w:hint="eastAsia" w:ascii="宋体" w:hAnsi="宋体" w:cs="黑体"/>
                                <w:b/>
                                <w:bCs/>
                                <w:spacing w:val="20"/>
                                <w:sz w:val="56"/>
                                <w:szCs w:val="56"/>
                              </w:rPr>
                              <w:t>与运输标准</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5.25pt;margin-top:280.65pt;height:103.35pt;width:330.2pt;mso-position-horizontal-relative:page;mso-position-vertical-relative:page;z-index:251668480;mso-width-relative:page;mso-height-relative:page;" filled="f" stroked="f" coordsize="21600,21600" o:gfxdata="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&#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NRiNe3AAAAAsBAAAPAAAAAAAAAAEAIAAAADgAAABk&#10;cnMvZG93bnJldi54bWxQSwECFAAUAAAACACHTuJAjAx8KyUCAAAjBAAADgAAAAAAAAABACAAAABB&#10;AQAAZHJzL2Uyb0RvYy54bWxQSwUGAAAAAAYABgBZAQAA2AUAAAAA&#10;">
                <v:fill on="f" focussize="0,0"/>
                <v:stroke on="f" weight="0.5pt"/>
                <v:imagedata o:title=""/>
                <o:lock v:ext="edit" aspectratio="f"/>
                <v:textbox>
                  <w:txbxContent>
                    <w:p>
                      <w:pPr>
                        <w:jc w:val="center"/>
                        <w:rPr>
                          <w:rFonts w:hint="eastAsia" w:ascii="宋体" w:hAnsi="宋体" w:cs="黑体"/>
                          <w:b/>
                          <w:bCs/>
                          <w:spacing w:val="20"/>
                          <w:sz w:val="56"/>
                          <w:szCs w:val="56"/>
                        </w:rPr>
                      </w:pPr>
                      <w:r>
                        <w:rPr>
                          <w:rFonts w:hint="eastAsia" w:ascii="宋体" w:hAnsi="宋体" w:cs="黑体"/>
                          <w:b/>
                          <w:bCs/>
                          <w:spacing w:val="20"/>
                          <w:sz w:val="56"/>
                          <w:szCs w:val="56"/>
                        </w:rPr>
                        <w:t>预制混凝土构件生产</w:t>
                      </w:r>
                    </w:p>
                    <w:p>
                      <w:pPr>
                        <w:jc w:val="center"/>
                        <w:rPr>
                          <w:rFonts w:ascii="宋体" w:hAnsi="宋体" w:cs="黑体"/>
                          <w:b/>
                          <w:bCs/>
                          <w:spacing w:val="20"/>
                          <w:sz w:val="56"/>
                          <w:szCs w:val="56"/>
                        </w:rPr>
                      </w:pPr>
                      <w:r>
                        <w:rPr>
                          <w:rFonts w:hint="eastAsia" w:ascii="宋体" w:hAnsi="宋体" w:cs="黑体"/>
                          <w:b/>
                          <w:bCs/>
                          <w:spacing w:val="20"/>
                          <w:sz w:val="56"/>
                          <w:szCs w:val="56"/>
                        </w:rPr>
                        <w:t>与运输标准</w:t>
                      </w:r>
                    </w:p>
                  </w:txbxContent>
                </v:textbox>
              </v:shape>
            </w:pict>
          </mc:Fallback>
        </mc:AlternateContent>
      </w:r>
    </w:p>
    <w:p>
      <w:pPr>
        <w:rPr>
          <w:kern w:val="0"/>
          <w:sz w:val="44"/>
          <w:szCs w:val="44"/>
          <w:highlight w:val="none"/>
        </w:rPr>
      </w:pPr>
    </w:p>
    <w:p>
      <w:pPr>
        <w:jc w:val="left"/>
        <w:rPr>
          <w:kern w:val="0"/>
          <w:sz w:val="44"/>
          <w:szCs w:val="44"/>
          <w:highlight w:val="none"/>
        </w:rPr>
      </w:pPr>
    </w:p>
    <w:p>
      <w:pPr>
        <w:pStyle w:val="18"/>
        <w:spacing w:line="360" w:lineRule="auto"/>
        <w:ind w:left="480"/>
        <w:rPr>
          <w:color w:val="auto"/>
          <w:highlight w:val="none"/>
        </w:rPr>
      </w:pPr>
    </w:p>
    <w:p>
      <w:pPr>
        <w:pStyle w:val="18"/>
        <w:spacing w:line="360" w:lineRule="auto"/>
        <w:ind w:left="480"/>
        <w:rPr>
          <w:color w:val="auto"/>
          <w:highlight w:val="none"/>
        </w:rPr>
      </w:pPr>
      <w:r>
        <w:rPr>
          <w:sz w:val="24"/>
          <w:szCs w:val="24"/>
          <w:highlight w:val="none"/>
        </w:rPr>
        <mc:AlternateContent>
          <mc:Choice Requires="wps">
            <w:drawing>
              <wp:anchor distT="0" distB="0" distL="114300" distR="114300" simplePos="0" relativeHeight="251669504" behindDoc="0" locked="0" layoutInCell="1" allowOverlap="1">
                <wp:simplePos x="0" y="0"/>
                <wp:positionH relativeFrom="page">
                  <wp:posOffset>1697990</wp:posOffset>
                </wp:positionH>
                <wp:positionV relativeFrom="page">
                  <wp:posOffset>4906645</wp:posOffset>
                </wp:positionV>
                <wp:extent cx="4554220" cy="96266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4554220" cy="962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Cs/>
                                <w:color w:val="000000"/>
                                <w:sz w:val="32"/>
                                <w:szCs w:val="32"/>
                              </w:rPr>
                            </w:pPr>
                            <w:r>
                              <w:rPr>
                                <w:rFonts w:hint="eastAsia"/>
                                <w:bCs/>
                                <w:color w:val="000000"/>
                                <w:sz w:val="32"/>
                                <w:szCs w:val="32"/>
                              </w:rPr>
                              <w:t>Standard for production and transportation of prefabricated concrete components</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3.7pt;margin-top:386.35pt;height:75.8pt;width:358.6pt;mso-position-horizontal-relative:page;mso-position-vertical-relative:page;z-index:251669504;mso-width-relative:page;mso-height-relative:page;" filled="f" stroked="f" coordsize="21600,21600" o:gfxdata="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VuaOI3AAAAAsBAAAPAAAAAAAAAAEAIAAAADgAAABk&#10;cnMvZG93bnJldi54bWxQSwECFAAUAAAACACHTuJA2lRMjCUCAAAiBAAADgAAAAAAAAABACAAAABB&#10;AQAAZHJzL2Uyb0RvYy54bWxQSwUGAAAAAAYABgBZAQAA2AUAAAAA&#10;">
                <v:fill on="f" focussize="0,0"/>
                <v:stroke on="f" weight="0.5pt"/>
                <v:imagedata o:title=""/>
                <o:lock v:ext="edit" aspectratio="f"/>
                <v:textbox>
                  <w:txbxContent>
                    <w:p>
                      <w:pPr>
                        <w:jc w:val="center"/>
                        <w:rPr>
                          <w:rFonts w:hint="eastAsia"/>
                          <w:bCs/>
                          <w:color w:val="000000"/>
                          <w:sz w:val="32"/>
                          <w:szCs w:val="32"/>
                        </w:rPr>
                      </w:pPr>
                      <w:r>
                        <w:rPr>
                          <w:rFonts w:hint="eastAsia"/>
                          <w:bCs/>
                          <w:color w:val="000000"/>
                          <w:sz w:val="32"/>
                          <w:szCs w:val="32"/>
                        </w:rPr>
                        <w:t>Standard for production and transportation of prefabricated concrete components</w:t>
                      </w:r>
                    </w:p>
                  </w:txbxContent>
                </v:textbox>
              </v:shape>
            </w:pict>
          </mc:Fallback>
        </mc:AlternateContent>
      </w:r>
    </w:p>
    <w:p>
      <w:pPr>
        <w:pStyle w:val="18"/>
        <w:spacing w:line="360" w:lineRule="auto"/>
        <w:ind w:left="480"/>
        <w:rPr>
          <w:color w:val="auto"/>
          <w:highlight w:val="none"/>
        </w:rPr>
      </w:pPr>
    </w:p>
    <w:p>
      <w:pPr>
        <w:pStyle w:val="18"/>
        <w:spacing w:line="360" w:lineRule="auto"/>
        <w:ind w:left="480"/>
        <w:rPr>
          <w:color w:val="auto"/>
          <w:highlight w:val="none"/>
        </w:rPr>
      </w:pPr>
    </w:p>
    <w:p>
      <w:pPr>
        <w:pStyle w:val="18"/>
        <w:spacing w:line="360" w:lineRule="auto"/>
        <w:ind w:left="480"/>
        <w:rPr>
          <w:color w:val="auto"/>
          <w:highlight w:val="none"/>
        </w:rPr>
      </w:pPr>
    </w:p>
    <w:p>
      <w:pPr>
        <w:pStyle w:val="18"/>
        <w:spacing w:line="360" w:lineRule="auto"/>
        <w:ind w:left="480"/>
        <w:rPr>
          <w:color w:val="auto"/>
          <w:highlight w:val="none"/>
        </w:rPr>
      </w:pPr>
    </w:p>
    <w:p>
      <w:pPr>
        <w:pStyle w:val="18"/>
        <w:spacing w:line="360" w:lineRule="auto"/>
        <w:ind w:left="480"/>
        <w:rPr>
          <w:color w:val="auto"/>
          <w:highlight w:val="none"/>
        </w:rPr>
      </w:pPr>
    </w:p>
    <w:p>
      <w:pPr>
        <w:pStyle w:val="18"/>
        <w:ind w:left="480"/>
        <w:rPr>
          <w:color w:val="auto"/>
          <w:highlight w:val="none"/>
        </w:rPr>
      </w:pPr>
    </w:p>
    <w:p>
      <w:pPr>
        <w:pStyle w:val="18"/>
        <w:ind w:left="480"/>
        <w:rPr>
          <w:color w:val="auto"/>
          <w:highlight w:val="none"/>
        </w:rPr>
      </w:pPr>
    </w:p>
    <w:p>
      <w:pPr>
        <w:pStyle w:val="18"/>
        <w:ind w:left="480"/>
        <w:rPr>
          <w:color w:val="auto"/>
          <w:highlight w:val="none"/>
        </w:rPr>
      </w:pPr>
    </w:p>
    <w:p>
      <w:pPr>
        <w:pStyle w:val="18"/>
        <w:ind w:left="480"/>
        <w:rPr>
          <w:color w:val="auto"/>
          <w:highlight w:val="none"/>
        </w:rPr>
      </w:pPr>
    </w:p>
    <w:p>
      <w:pPr>
        <w:pStyle w:val="18"/>
        <w:ind w:left="480"/>
        <w:rPr>
          <w:color w:val="auto"/>
          <w:highlight w:val="none"/>
        </w:rPr>
      </w:pPr>
    </w:p>
    <w:p>
      <w:pPr>
        <w:pStyle w:val="18"/>
        <w:ind w:left="480"/>
        <w:rPr>
          <w:color w:val="auto"/>
          <w:highlight w:val="none"/>
        </w:rPr>
      </w:pPr>
    </w:p>
    <w:p>
      <w:pPr>
        <w:pStyle w:val="18"/>
        <w:ind w:left="480"/>
        <w:rPr>
          <w:color w:val="auto"/>
          <w:highlight w:val="none"/>
        </w:rPr>
      </w:pPr>
    </w:p>
    <w:p>
      <w:pPr>
        <w:pStyle w:val="18"/>
        <w:spacing w:line="360" w:lineRule="auto"/>
        <w:ind w:left="480"/>
        <w:rPr>
          <w:color w:val="auto"/>
          <w:highlight w:val="none"/>
        </w:rPr>
      </w:pPr>
    </w:p>
    <w:p>
      <w:pPr>
        <w:pStyle w:val="18"/>
        <w:spacing w:line="360" w:lineRule="auto"/>
        <w:ind w:left="480"/>
        <w:rPr>
          <w:color w:val="auto"/>
          <w:highlight w:val="none"/>
        </w:rPr>
      </w:pPr>
    </w:p>
    <w:p>
      <w:pPr>
        <w:pStyle w:val="18"/>
        <w:spacing w:line="360" w:lineRule="auto"/>
        <w:ind w:left="480"/>
        <w:rPr>
          <w:color w:val="auto"/>
          <w:highlight w:val="none"/>
        </w:rPr>
      </w:pPr>
    </w:p>
    <w:p>
      <w:pPr>
        <w:pStyle w:val="18"/>
        <w:spacing w:after="240" w:line="360" w:lineRule="auto"/>
        <w:ind w:left="480"/>
        <w:jc w:val="right"/>
        <w:rPr>
          <w:rFonts w:eastAsia="黑体"/>
          <w:b/>
          <w:bCs/>
          <w:color w:val="auto"/>
          <w:spacing w:val="-11"/>
          <w:sz w:val="28"/>
          <w:szCs w:val="28"/>
          <w:highlight w:val="none"/>
        </w:rPr>
      </w:pPr>
      <w:r>
        <w:rPr>
          <w:highlight w:val="none"/>
        </w:rPr>
        <mc:AlternateContent>
          <mc:Choice Requires="wps">
            <w:drawing>
              <wp:anchor distT="0" distB="0" distL="114300" distR="114300" simplePos="0" relativeHeight="251664384" behindDoc="0" locked="0" layoutInCell="1" allowOverlap="1">
                <wp:simplePos x="0" y="0"/>
                <wp:positionH relativeFrom="page">
                  <wp:posOffset>702310</wp:posOffset>
                </wp:positionH>
                <wp:positionV relativeFrom="page">
                  <wp:posOffset>9681845</wp:posOffset>
                </wp:positionV>
                <wp:extent cx="4993005" cy="608330"/>
                <wp:effectExtent l="0" t="0" r="0" b="1270"/>
                <wp:wrapNone/>
                <wp:docPr id="12" name="文本框 12"/>
                <wp:cNvGraphicFramePr/>
                <a:graphic xmlns:a="http://schemas.openxmlformats.org/drawingml/2006/main">
                  <a:graphicData uri="http://schemas.microsoft.com/office/word/2010/wordprocessingShape">
                    <wps:wsp>
                      <wps:cNvSpPr txBox="true"/>
                      <wps:spPr>
                        <a:xfrm>
                          <a:off x="0" y="0"/>
                          <a:ext cx="4993200" cy="608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wps:txbx>
                      <wps:bodyPr rot="0" spcFirstLastPara="0" vertOverflow="clip" horzOverflow="clip"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5.3pt;margin-top:762.35pt;height:47.9pt;width:393.15pt;mso-position-horizontal-relative:page;mso-position-vertical-relative:page;z-index:251664384;mso-width-relative:page;mso-height-relative:page;" filled="f" stroked="f" coordsize="21600,21600" o:gfxdata="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rvh2p3QAAAA0BAAAPAAAAAAAAAAEAIAAAADgAAABk&#10;cnMvZG93bnJldi54bWxQSwECFAAUAAAACACHTuJAvBvN9SQCAAAkBAAADgAAAAAAAAABACAAAABC&#10;AQAAZHJzL2Uyb0RvYy54bWxQSwUGAAAAAAYABgBZAQAA2AUAAAAA&#10;">
                <v:fill on="f" focussize="0,0"/>
                <v:stroke on="f" weight="0.5pt"/>
                <v:imagedata o:title=""/>
                <o:lock v:ext="edit" aspectratio="f"/>
                <v:textbox>
                  <w:txbxContent>
                    <w:p>
                      <w:pPr>
                        <w:spacing w:line="276" w:lineRule="auto"/>
                        <w:jc w:val="distribute"/>
                        <w:rPr>
                          <w:rFonts w:ascii="黑体" w:hAnsi="黑体" w:eastAsia="黑体" w:cs="黑体"/>
                          <w:b/>
                          <w:bCs/>
                          <w:sz w:val="40"/>
                          <w:szCs w:val="40"/>
                        </w:rPr>
                      </w:pPr>
                      <w:r>
                        <w:rPr>
                          <w:rFonts w:hint="eastAsia" w:ascii="黑体" w:hAnsi="黑体" w:eastAsia="黑体" w:cs="黑体"/>
                          <w:b/>
                          <w:bCs/>
                          <w:sz w:val="40"/>
                          <w:szCs w:val="40"/>
                        </w:rPr>
                        <w:t>深圳市住房和建设局</w:t>
                      </w:r>
                    </w:p>
                  </w:txbxContent>
                </v:textbox>
              </v:shape>
            </w:pict>
          </mc:Fallback>
        </mc:AlternateContent>
      </w:r>
      <w:r>
        <w:rPr>
          <w:highlight w:val="none"/>
        </w:rPr>
        <mc:AlternateContent>
          <mc:Choice Requires="wps">
            <w:drawing>
              <wp:anchor distT="45720" distB="45720" distL="114300" distR="114300" simplePos="0" relativeHeight="251665408" behindDoc="0" locked="0" layoutInCell="1" allowOverlap="1">
                <wp:simplePos x="0" y="0"/>
                <wp:positionH relativeFrom="page">
                  <wp:posOffset>6124575</wp:posOffset>
                </wp:positionH>
                <wp:positionV relativeFrom="page">
                  <wp:posOffset>9681845</wp:posOffset>
                </wp:positionV>
                <wp:extent cx="752475" cy="547370"/>
                <wp:effectExtent l="0" t="0" r="0" b="5715"/>
                <wp:wrapNone/>
                <wp:docPr id="217" name="文本框 217"/>
                <wp:cNvGraphicFramePr/>
                <a:graphic xmlns:a="http://schemas.openxmlformats.org/drawingml/2006/main">
                  <a:graphicData uri="http://schemas.microsoft.com/office/word/2010/wordprocessingShape">
                    <wps:wsp>
                      <wps:cNvSpPr txBox="true">
                        <a:spLocks noChangeArrowheads="true"/>
                      </wps:cNvSpPr>
                      <wps:spPr bwMode="auto">
                        <a:xfrm>
                          <a:off x="0" y="0"/>
                          <a:ext cx="752400" cy="547200"/>
                        </a:xfrm>
                        <a:prstGeom prst="rect">
                          <a:avLst/>
                        </a:prstGeom>
                        <a:noFill/>
                        <a:ln w="9525">
                          <a:noFill/>
                          <a:miter lim="800000"/>
                        </a:ln>
                      </wps:spPr>
                      <wps:txbx>
                        <w:txbxContent>
                          <w:p>
                            <w:pPr>
                              <w:jc w:val="distribute"/>
                              <w:rPr>
                                <w:b/>
                                <w:bCs/>
                                <w:sz w:val="28"/>
                                <w:szCs w:val="28"/>
                              </w:rPr>
                            </w:pPr>
                            <w:r>
                              <w:rPr>
                                <w:rFonts w:hint="eastAsia" w:ascii="黑体" w:hAnsi="黑体" w:eastAsia="黑体" w:cs="黑体"/>
                                <w:b/>
                                <w:bCs/>
                                <w:sz w:val="40"/>
                                <w:szCs w:val="40"/>
                              </w:rPr>
                              <w:t>发布</w:t>
                            </w:r>
                          </w:p>
                        </w:txbxContent>
                      </wps:txbx>
                      <wps:bodyPr rot="0" vertOverflow="clip" horzOverflow="clip" vert="horz" wrap="square" lIns="91440" tIns="45720" rIns="91440" bIns="45720" anchor="t" anchorCtr="false">
                        <a:noAutofit/>
                      </wps:bodyPr>
                    </wps:wsp>
                  </a:graphicData>
                </a:graphic>
              </wp:anchor>
            </w:drawing>
          </mc:Choice>
          <mc:Fallback>
            <w:pict>
              <v:shape id="_x0000_s1026" o:spid="_x0000_s1026" o:spt="202" type="#_x0000_t202" style="position:absolute;left:0pt;margin-left:482.25pt;margin-top:762.35pt;height:43.1pt;width:59.25pt;mso-position-horizontal-relative:page;mso-position-vertical-relative:page;z-index:251665408;mso-width-relative:page;mso-height-relative:page;" filled="f" stroked="f" coordsize="21600,21600" o:gfxdata="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89mHN2gAAAA4BAAAPAAAAAAAAAAEAIAAAADgAAABkcnMvZG93bnJl&#10;di54bWxQSwECFAAUAAAACACHTuJA2hifBx4CAAAQBAAADgAAAAAAAAABACAAAAA/AQAAZHJzL2Uy&#10;b0RvYy54bWxQSwUGAAAAAAYABgBZAQAAzwUAAAAA&#10;">
                <v:fill on="f" focussize="0,0"/>
                <v:stroke on="f" miterlimit="8" joinstyle="miter"/>
                <v:imagedata o:title=""/>
                <o:lock v:ext="edit" aspectratio="f"/>
                <v:textbox>
                  <w:txbxContent>
                    <w:p>
                      <w:pPr>
                        <w:jc w:val="distribute"/>
                        <w:rPr>
                          <w:b/>
                          <w:bCs/>
                          <w:sz w:val="28"/>
                          <w:szCs w:val="28"/>
                        </w:rPr>
                      </w:pPr>
                      <w:r>
                        <w:rPr>
                          <w:rFonts w:hint="eastAsia" w:ascii="黑体" w:hAnsi="黑体" w:eastAsia="黑体" w:cs="黑体"/>
                          <w:b/>
                          <w:bCs/>
                          <w:sz w:val="40"/>
                          <w:szCs w:val="40"/>
                        </w:rPr>
                        <w:t>发布</w:t>
                      </w:r>
                    </w:p>
                  </w:txbxContent>
                </v:textbox>
              </v:shape>
            </w:pict>
          </mc:Fallback>
        </mc:AlternateContent>
      </w:r>
      <w:r>
        <w:rPr>
          <w:highlight w:val="none"/>
        </w:rPr>
        <mc:AlternateContent>
          <mc:Choice Requires="wps">
            <w:drawing>
              <wp:anchor distT="0" distB="0" distL="114300" distR="114300" simplePos="0" relativeHeight="251667456" behindDoc="0" locked="0" layoutInCell="1" allowOverlap="1">
                <wp:simplePos x="0" y="0"/>
                <wp:positionH relativeFrom="page">
                  <wp:posOffset>-86360</wp:posOffset>
                </wp:positionH>
                <wp:positionV relativeFrom="page">
                  <wp:posOffset>9069705</wp:posOffset>
                </wp:positionV>
                <wp:extent cx="77146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77148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6.8pt;margin-top:714.15pt;height:0pt;width:607.45pt;mso-position-horizontal-relative:page;mso-position-vertical-relative:page;z-index:251667456;mso-width-relative:page;mso-height-relative:page;" filled="f" stroked="t" coordsize="21600,21600" o:gfxdata="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gLCMyNgAAAAOAQAADwAAAAAAAAABACAAAAA4AAAAZHJzL2Rvd25yZXYueG1sUEsBAhQAFAAAAAgA&#10;h07iQFmnLHbWAQAAmQMAAA4AAAAAAAAAAQAgAAAAPQEAAGRycy9lMm9Eb2MueG1sUEsFBgAAAAAG&#10;AAYAWQEAAIUFAAAAAA==&#10;">
                <v:fill on="f" focussize="0,0"/>
                <v:stroke weight="1.5pt" color="#000000" joinstyle="round"/>
                <v:imagedata o:title=""/>
                <o:lock v:ext="edit" aspectratio="f"/>
              </v:line>
            </w:pict>
          </mc:Fallback>
        </mc:AlternateContent>
      </w:r>
      <w:r>
        <w:rPr>
          <w:rFonts w:eastAsia="黑体"/>
          <w:b/>
          <w:bCs/>
          <w:color w:val="auto"/>
          <w:spacing w:val="-11"/>
          <w:sz w:val="28"/>
          <w:szCs w:val="28"/>
          <w:highlight w:val="none"/>
        </w:rPr>
        <w:t xml:space="preserve">                           </w:t>
      </w:r>
    </w:p>
    <w:p>
      <w:pPr>
        <w:spacing w:line="240" w:lineRule="auto"/>
        <w:jc w:val="center"/>
        <w:rPr>
          <w:rFonts w:ascii="黑体" w:hAnsi="黑体" w:eastAsia="黑体"/>
          <w:b/>
          <w:sz w:val="32"/>
          <w:highlight w:val="none"/>
        </w:rPr>
        <w:sectPr>
          <w:footerReference r:id="rId5" w:type="default"/>
          <w:footerReference r:id="rId6" w:type="even"/>
          <w:pgSz w:w="11906" w:h="16838"/>
          <w:pgMar w:top="1610" w:right="1349" w:bottom="1213" w:left="1293" w:header="851" w:footer="992" w:gutter="0"/>
          <w:pgBorders>
            <w:top w:val="none" w:sz="0" w:space="0"/>
            <w:left w:val="none" w:sz="0" w:space="0"/>
            <w:bottom w:val="none" w:sz="0" w:space="0"/>
            <w:right w:val="none" w:sz="0" w:space="0"/>
          </w:pgBorders>
          <w:cols w:space="425" w:num="1"/>
          <w:docGrid w:type="lines" w:linePitch="333" w:charSpace="4423"/>
        </w:sectPr>
      </w:pPr>
    </w:p>
    <w:p>
      <w:pPr>
        <w:spacing w:line="240" w:lineRule="auto"/>
        <w:jc w:val="center"/>
        <w:rPr>
          <w:rFonts w:ascii="黑体" w:hAnsi="黑体" w:eastAsia="黑体"/>
          <w:b/>
          <w:sz w:val="32"/>
          <w:highlight w:val="none"/>
        </w:rPr>
      </w:pPr>
    </w:p>
    <w:p>
      <w:pPr>
        <w:spacing w:line="240" w:lineRule="auto"/>
        <w:ind w:right="-44" w:rightChars="-20"/>
        <w:jc w:val="center"/>
        <w:outlineLvl w:val="9"/>
        <w:rPr>
          <w:rFonts w:eastAsia="黑体"/>
          <w:sz w:val="32"/>
          <w:szCs w:val="32"/>
          <w:highlight w:val="none"/>
        </w:rPr>
      </w:pPr>
      <w:bookmarkStart w:id="0" w:name="_Toc6573"/>
      <w:bookmarkStart w:id="1" w:name="_Toc6394"/>
      <w:r>
        <w:rPr>
          <w:rFonts w:hint="eastAsia" w:eastAsia="黑体"/>
          <w:sz w:val="32"/>
          <w:szCs w:val="32"/>
          <w:highlight w:val="none"/>
        </w:rPr>
        <w:t>深圳市工程建设地方标准</w:t>
      </w:r>
      <w:bookmarkEnd w:id="0"/>
      <w:bookmarkEnd w:id="1"/>
    </w:p>
    <w:p>
      <w:pPr>
        <w:spacing w:line="240" w:lineRule="auto"/>
        <w:jc w:val="center"/>
        <w:rPr>
          <w:sz w:val="30"/>
          <w:highlight w:val="none"/>
        </w:rPr>
      </w:pPr>
    </w:p>
    <w:p>
      <w:pPr>
        <w:spacing w:line="240" w:lineRule="auto"/>
        <w:jc w:val="center"/>
        <w:outlineLvl w:val="9"/>
        <w:rPr>
          <w:rFonts w:ascii="宋体" w:hAnsi="宋体"/>
          <w:b/>
          <w:bCs/>
          <w:sz w:val="32"/>
          <w:szCs w:val="32"/>
          <w:highlight w:val="none"/>
        </w:rPr>
      </w:pPr>
      <w:bookmarkStart w:id="2" w:name="_Toc7435"/>
      <w:bookmarkStart w:id="3" w:name="_Toc10590"/>
      <w:r>
        <w:rPr>
          <w:rFonts w:hint="eastAsia" w:ascii="宋体" w:hAnsi="宋体"/>
          <w:b/>
          <w:bCs/>
          <w:sz w:val="32"/>
          <w:szCs w:val="32"/>
          <w:highlight w:val="none"/>
        </w:rPr>
        <w:t>预制混凝土构件生产与运输标准</w:t>
      </w:r>
      <w:bookmarkEnd w:id="2"/>
      <w:bookmarkEnd w:id="3"/>
    </w:p>
    <w:p>
      <w:pPr>
        <w:spacing w:line="240" w:lineRule="auto"/>
        <w:jc w:val="center"/>
        <w:rPr>
          <w:rFonts w:hint="eastAsia" w:eastAsia="黑体"/>
          <w:sz w:val="32"/>
          <w:szCs w:val="32"/>
          <w:highlight w:val="none"/>
        </w:rPr>
      </w:pPr>
      <w:r>
        <w:rPr>
          <w:rFonts w:hint="eastAsia" w:eastAsia="黑体"/>
          <w:sz w:val="32"/>
          <w:szCs w:val="32"/>
          <w:highlight w:val="none"/>
        </w:rPr>
        <w:t>Standard for production and transportation of</w:t>
      </w:r>
    </w:p>
    <w:p>
      <w:pPr>
        <w:spacing w:line="240" w:lineRule="auto"/>
        <w:jc w:val="center"/>
        <w:rPr>
          <w:b/>
          <w:sz w:val="30"/>
          <w:highlight w:val="none"/>
        </w:rPr>
      </w:pPr>
      <w:r>
        <w:rPr>
          <w:rFonts w:hint="eastAsia" w:eastAsia="黑体"/>
          <w:sz w:val="32"/>
          <w:szCs w:val="32"/>
          <w:highlight w:val="none"/>
        </w:rPr>
        <w:t xml:space="preserve"> prefabricated concrete components</w:t>
      </w:r>
    </w:p>
    <w:p>
      <w:pPr>
        <w:spacing w:line="240" w:lineRule="auto"/>
        <w:jc w:val="center"/>
        <w:rPr>
          <w:b/>
          <w:sz w:val="30"/>
          <w:highlight w:val="none"/>
        </w:rPr>
      </w:pPr>
    </w:p>
    <w:p>
      <w:pPr>
        <w:spacing w:line="240" w:lineRule="auto"/>
        <w:jc w:val="center"/>
        <w:outlineLvl w:val="9"/>
        <w:rPr>
          <w:b/>
          <w:sz w:val="30"/>
          <w:highlight w:val="none"/>
        </w:rPr>
      </w:pPr>
      <w:bookmarkStart w:id="4" w:name="_Toc10716"/>
      <w:bookmarkStart w:id="5" w:name="_Toc31534"/>
      <w:r>
        <w:rPr>
          <w:b/>
          <w:sz w:val="30"/>
          <w:highlight w:val="none"/>
        </w:rPr>
        <w:t xml:space="preserve">SJG </w:t>
      </w:r>
      <w:r>
        <w:rPr>
          <w:rFonts w:eastAsia="黑体e眠副浡渀."/>
          <w:b/>
          <w:sz w:val="28"/>
          <w:szCs w:val="28"/>
          <w:highlight w:val="none"/>
        </w:rPr>
        <w:t>XXX</w:t>
      </w:r>
      <w:r>
        <w:rPr>
          <w:b/>
          <w:sz w:val="28"/>
          <w:szCs w:val="28"/>
          <w:highlight w:val="none"/>
        </w:rPr>
        <w:t xml:space="preserve"> </w:t>
      </w:r>
      <w:r>
        <w:rPr>
          <w:rFonts w:hint="eastAsia" w:ascii="宋体" w:hAnsi="宋体"/>
          <w:b/>
          <w:sz w:val="28"/>
          <w:szCs w:val="28"/>
          <w:highlight w:val="none"/>
        </w:rPr>
        <w:t>-</w:t>
      </w:r>
      <w:r>
        <w:rPr>
          <w:rFonts w:hint="eastAsia"/>
          <w:b/>
          <w:sz w:val="28"/>
          <w:szCs w:val="28"/>
          <w:highlight w:val="none"/>
        </w:rPr>
        <w:t xml:space="preserve"> </w:t>
      </w:r>
      <w:r>
        <w:rPr>
          <w:rFonts w:hint="eastAsia"/>
          <w:b/>
          <w:sz w:val="30"/>
          <w:highlight w:val="none"/>
        </w:rPr>
        <w:t>202X</w:t>
      </w:r>
      <w:bookmarkEnd w:id="4"/>
      <w:bookmarkEnd w:id="5"/>
    </w:p>
    <w:p>
      <w:pPr>
        <w:spacing w:line="240" w:lineRule="auto"/>
        <w:ind w:firstLine="600"/>
        <w:jc w:val="center"/>
        <w:rPr>
          <w:sz w:val="30"/>
          <w:highlight w:val="none"/>
        </w:rPr>
      </w:pPr>
    </w:p>
    <w:p>
      <w:pPr>
        <w:spacing w:line="240" w:lineRule="auto"/>
        <w:ind w:firstLine="1556" w:firstLineChars="708"/>
        <w:rPr>
          <w:szCs w:val="28"/>
          <w:highlight w:val="none"/>
        </w:rPr>
      </w:pPr>
    </w:p>
    <w:p>
      <w:pPr>
        <w:spacing w:line="240" w:lineRule="auto"/>
        <w:ind w:firstLine="1556" w:firstLineChars="708"/>
        <w:rPr>
          <w:szCs w:val="28"/>
          <w:highlight w:val="none"/>
        </w:rPr>
      </w:pPr>
    </w:p>
    <w:p>
      <w:pPr>
        <w:spacing w:line="240" w:lineRule="auto"/>
        <w:ind w:firstLine="1556" w:firstLineChars="708"/>
        <w:rPr>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spacing w:line="240" w:lineRule="auto"/>
        <w:rPr>
          <w:sz w:val="28"/>
          <w:szCs w:val="28"/>
          <w:highlight w:val="none"/>
        </w:rPr>
      </w:pPr>
    </w:p>
    <w:p>
      <w:pPr>
        <w:widowControl/>
        <w:spacing w:line="240" w:lineRule="auto"/>
        <w:jc w:val="center"/>
        <w:rPr>
          <w:rFonts w:ascii="黑体" w:hAnsi="黑体" w:eastAsia="黑体"/>
          <w:kern w:val="0"/>
          <w:sz w:val="30"/>
          <w:szCs w:val="30"/>
          <w:highlight w:val="none"/>
        </w:rPr>
      </w:pPr>
      <w:r>
        <w:rPr>
          <w:rFonts w:eastAsia="黑体"/>
          <w:kern w:val="0"/>
          <w:sz w:val="30"/>
          <w:szCs w:val="30"/>
          <w:highlight w:val="none"/>
        </w:rPr>
        <w:t>202X</w:t>
      </w:r>
      <w:r>
        <w:rPr>
          <w:rFonts w:ascii="黑体" w:hAnsi="黑体" w:eastAsia="黑体"/>
          <w:kern w:val="0"/>
          <w:sz w:val="30"/>
          <w:szCs w:val="30"/>
          <w:highlight w:val="none"/>
        </w:rPr>
        <w:t xml:space="preserve"> </w:t>
      </w:r>
      <w:r>
        <w:rPr>
          <w:rFonts w:hint="eastAsia" w:ascii="黑体" w:hAnsi="黑体" w:eastAsia="黑体"/>
          <w:spacing w:val="183"/>
          <w:kern w:val="0"/>
          <w:sz w:val="30"/>
          <w:szCs w:val="30"/>
          <w:highlight w:val="none"/>
          <w:fitText w:val="966" w:id="-1579431167"/>
        </w:rPr>
        <w:t>深</w:t>
      </w:r>
      <w:r>
        <w:rPr>
          <w:rFonts w:hint="eastAsia" w:ascii="黑体" w:hAnsi="黑体" w:eastAsia="黑体"/>
          <w:spacing w:val="0"/>
          <w:kern w:val="0"/>
          <w:sz w:val="30"/>
          <w:szCs w:val="30"/>
          <w:highlight w:val="none"/>
          <w:fitText w:val="966" w:id="-1579431167"/>
        </w:rPr>
        <w:t>圳</w:t>
      </w:r>
    </w:p>
    <w:p>
      <w:pPr>
        <w:widowControl/>
        <w:spacing w:line="240" w:lineRule="auto"/>
        <w:jc w:val="left"/>
        <w:rPr>
          <w:rFonts w:ascii="黑体" w:hAnsi="黑体" w:eastAsia="黑体"/>
          <w:kern w:val="0"/>
          <w:sz w:val="30"/>
          <w:szCs w:val="30"/>
          <w:highlight w:val="none"/>
        </w:rPr>
      </w:pPr>
      <w:r>
        <w:rPr>
          <w:rFonts w:ascii="黑体" w:hAnsi="黑体" w:eastAsia="黑体"/>
          <w:kern w:val="0"/>
          <w:sz w:val="30"/>
          <w:szCs w:val="30"/>
          <w:highlight w:val="none"/>
        </w:rPr>
        <w:br w:type="page"/>
      </w:r>
    </w:p>
    <w:p>
      <w:pPr>
        <w:spacing w:before="360" w:after="360" w:line="240" w:lineRule="auto"/>
        <w:jc w:val="center"/>
        <w:outlineLvl w:val="9"/>
        <w:rPr>
          <w:rFonts w:ascii="宋体" w:hAnsi="宋体"/>
          <w:b/>
          <w:sz w:val="28"/>
          <w:szCs w:val="28"/>
          <w:highlight w:val="none"/>
        </w:rPr>
      </w:pPr>
      <w:bookmarkStart w:id="6" w:name="_Toc11860"/>
      <w:bookmarkStart w:id="7" w:name="_Toc19523"/>
      <w:r>
        <w:rPr>
          <w:rFonts w:hint="eastAsia" w:ascii="宋体" w:hAnsi="宋体"/>
          <w:b/>
          <w:sz w:val="28"/>
          <w:szCs w:val="28"/>
          <w:highlight w:val="none"/>
        </w:rPr>
        <w:t xml:space="preserve">前 </w:t>
      </w:r>
      <w:r>
        <w:rPr>
          <w:rFonts w:ascii="宋体" w:hAnsi="宋体"/>
          <w:b/>
          <w:sz w:val="28"/>
          <w:szCs w:val="28"/>
          <w:highlight w:val="none"/>
        </w:rPr>
        <w:t xml:space="preserve">   </w:t>
      </w:r>
      <w:r>
        <w:rPr>
          <w:rFonts w:hint="eastAsia" w:ascii="宋体" w:hAnsi="宋体"/>
          <w:b/>
          <w:sz w:val="28"/>
          <w:szCs w:val="28"/>
          <w:highlight w:val="none"/>
        </w:rPr>
        <w:t>言</w:t>
      </w:r>
      <w:bookmarkEnd w:id="6"/>
      <w:bookmarkEnd w:id="7"/>
    </w:p>
    <w:p>
      <w:pPr>
        <w:spacing w:line="240" w:lineRule="auto"/>
        <w:ind w:firstLine="440" w:firstLineChars="200"/>
        <w:rPr>
          <w:rFonts w:hint="eastAsia" w:cs="等线"/>
          <w:highlight w:val="none"/>
        </w:rPr>
      </w:pPr>
      <w:bookmarkStart w:id="8" w:name="OLE_LINK5"/>
      <w:r>
        <w:rPr>
          <w:rFonts w:hint="eastAsia" w:cs="等线"/>
          <w:highlight w:val="none"/>
        </w:rPr>
        <w:t>本标准根据《深圳市住房和建设局关于发布2021年深圳市工程建设标准制订修订计划项目（第一批）的通知》有关要求编制。</w:t>
      </w:r>
    </w:p>
    <w:p>
      <w:pPr>
        <w:spacing w:line="240" w:lineRule="auto"/>
        <w:ind w:firstLine="440" w:firstLineChars="200"/>
        <w:rPr>
          <w:rFonts w:hint="eastAsia" w:cs="等线"/>
          <w:highlight w:val="none"/>
        </w:rPr>
      </w:pPr>
      <w:r>
        <w:rPr>
          <w:rFonts w:hint="eastAsia" w:cs="等线"/>
          <w:highlight w:val="none"/>
        </w:rPr>
        <w:t>本标准编制组进行了广泛的调查研究，认真总结了装配式建筑建设与管理的实践经验和发展需要，参考有关国内外标准，并在广泛征求意见的基础上，编制了深圳市《预制混凝土构件生产与运输标准》。本标准以现行标准和有关规定为依据，对预制混凝土构件生产与运输做出了具体规定。</w:t>
      </w:r>
    </w:p>
    <w:p>
      <w:pPr>
        <w:spacing w:line="240" w:lineRule="auto"/>
        <w:ind w:firstLine="440" w:firstLineChars="200"/>
        <w:rPr>
          <w:rFonts w:hint="eastAsia" w:cs="等线"/>
          <w:highlight w:val="none"/>
        </w:rPr>
      </w:pPr>
      <w:r>
        <w:rPr>
          <w:rFonts w:hint="eastAsia" w:cs="等线"/>
          <w:highlight w:val="none"/>
        </w:rPr>
        <w:t>本标准主要技术内容是：1.总则；2.术语；3.基本规定；4.材料；5.模具；</w:t>
      </w:r>
    </w:p>
    <w:p>
      <w:pPr>
        <w:spacing w:line="240" w:lineRule="auto"/>
        <w:ind w:firstLine="440" w:firstLineChars="200"/>
        <w:rPr>
          <w:rFonts w:hint="eastAsia" w:cs="等线"/>
          <w:highlight w:val="none"/>
        </w:rPr>
      </w:pPr>
      <w:r>
        <w:rPr>
          <w:rFonts w:hint="eastAsia" w:cs="等线"/>
          <w:highlight w:val="none"/>
        </w:rPr>
        <w:t>6.生产；7.构件堆放；8.构件装卸；9.构件运输；10.产品标识与资料文件；11.安全生产与环境保护；12</w:t>
      </w:r>
      <w:r>
        <w:rPr>
          <w:rFonts w:hint="eastAsia" w:cs="等线"/>
          <w:highlight w:val="none"/>
          <w:lang w:val="en-US" w:eastAsia="zh-CN"/>
        </w:rPr>
        <w:t>.</w:t>
      </w:r>
      <w:r>
        <w:rPr>
          <w:rFonts w:hint="eastAsia" w:cs="等线"/>
          <w:highlight w:val="none"/>
        </w:rPr>
        <w:t>信息化管理。</w:t>
      </w:r>
    </w:p>
    <w:p>
      <w:pPr>
        <w:spacing w:line="240" w:lineRule="auto"/>
        <w:ind w:firstLine="440" w:firstLineChars="200"/>
        <w:rPr>
          <w:rFonts w:hint="eastAsia" w:cs="等线"/>
          <w:highlight w:val="none"/>
        </w:rPr>
      </w:pPr>
      <w:r>
        <w:rPr>
          <w:rFonts w:hint="eastAsia" w:cs="等线"/>
          <w:highlight w:val="none"/>
        </w:rPr>
        <w:t>本标准中以黑体字标志的条文为强制性条文，必须严格执行。</w:t>
      </w:r>
    </w:p>
    <w:p>
      <w:pPr>
        <w:spacing w:line="240" w:lineRule="auto"/>
        <w:ind w:firstLine="440" w:firstLineChars="200"/>
        <w:rPr>
          <w:rFonts w:hint="eastAsia" w:cs="等线"/>
          <w:highlight w:val="none"/>
        </w:rPr>
      </w:pPr>
      <w:r>
        <w:rPr>
          <w:rFonts w:hint="eastAsia" w:cs="等线"/>
          <w:highlight w:val="none"/>
        </w:rPr>
        <w:t>本标准由深圳市住房和建设局提出并业务归口，深圳市住房和建设局批准发布。深圳市建筑产业化协会负责具体技术内容的解释。本标准在执行过程中如发现需要修改和补充之处，请将意见和有关资料寄送深圳市建筑产业化协会《预制混凝土构件生产与运输标准》编制组（地址：深圳市福田区红荔西路莲花大厦东座606室，邮编：518000；联系方式：</w:t>
      </w:r>
      <w:r>
        <w:rPr>
          <w:rFonts w:hint="eastAsia" w:cs="等线"/>
          <w:highlight w:val="none"/>
        </w:rPr>
        <w:fldChar w:fldCharType="begin"/>
      </w:r>
      <w:r>
        <w:rPr>
          <w:rFonts w:hint="eastAsia" w:cs="等线"/>
          <w:highlight w:val="none"/>
        </w:rPr>
        <w:instrText xml:space="preserve"> HYPERLINK "mailto:BIAS2016@126.com），以供修订时参考。" </w:instrText>
      </w:r>
      <w:r>
        <w:rPr>
          <w:rFonts w:hint="eastAsia" w:cs="等线"/>
          <w:highlight w:val="none"/>
        </w:rPr>
        <w:fldChar w:fldCharType="separate"/>
      </w:r>
      <w:r>
        <w:rPr>
          <w:rFonts w:hint="eastAsia" w:cs="等线"/>
          <w:highlight w:val="none"/>
        </w:rPr>
        <w:t>BIAS2016@126.com），以供修订时参考。</w:t>
      </w:r>
      <w:r>
        <w:rPr>
          <w:rFonts w:hint="eastAsia" w:cs="等线"/>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427" w:firstLineChars="154"/>
        <w:textAlignment w:val="auto"/>
        <w:rPr>
          <w:rFonts w:hint="eastAsia" w:cs="等线"/>
          <w:highlight w:val="none"/>
        </w:rPr>
      </w:pPr>
      <w:r>
        <w:rPr>
          <w:rFonts w:hint="eastAsia" w:ascii="宋体" w:hAnsi="宋体"/>
          <w:spacing w:val="29"/>
          <w:kern w:val="0"/>
          <w:szCs w:val="21"/>
          <w:highlight w:val="none"/>
          <w:fitText w:val="2095" w:id="1773743630"/>
        </w:rPr>
        <w:t>本标准主编单位</w:t>
      </w:r>
      <w:r>
        <w:rPr>
          <w:rFonts w:hint="eastAsia" w:ascii="宋体" w:hAnsi="宋体"/>
          <w:spacing w:val="4"/>
          <w:kern w:val="0"/>
          <w:szCs w:val="21"/>
          <w:highlight w:val="none"/>
          <w:fitText w:val="2095" w:id="1773743630"/>
        </w:rPr>
        <w:t>：</w:t>
      </w:r>
      <w:r>
        <w:rPr>
          <w:rFonts w:hint="eastAsia" w:cs="等线"/>
          <w:highlight w:val="none"/>
        </w:rPr>
        <w:t>深圳市建筑产业化协会</w:t>
      </w:r>
      <w:bookmarkStart w:id="9" w:name="_Toc27131"/>
      <w:bookmarkStart w:id="10" w:name="_Toc32325"/>
    </w:p>
    <w:p>
      <w:pPr>
        <w:keepNext w:val="0"/>
        <w:keepLines w:val="0"/>
        <w:pageBreakBefore w:val="0"/>
        <w:widowControl w:val="0"/>
        <w:kinsoku/>
        <w:wordWrap/>
        <w:overflowPunct/>
        <w:topLinePunct w:val="0"/>
        <w:autoSpaceDE/>
        <w:autoSpaceDN/>
        <w:bidi w:val="0"/>
        <w:adjustRightInd/>
        <w:snapToGrid/>
        <w:spacing w:line="240" w:lineRule="auto"/>
        <w:ind w:firstLine="2532" w:firstLineChars="1151"/>
        <w:textAlignment w:val="auto"/>
        <w:rPr>
          <w:rFonts w:hint="eastAsia" w:cs="等线"/>
          <w:highlight w:val="none"/>
        </w:rPr>
      </w:pPr>
      <w:r>
        <w:rPr>
          <w:rFonts w:hint="eastAsia" w:cs="等线"/>
          <w:highlight w:val="none"/>
        </w:rPr>
        <w:t>中建海龙科技有限公司</w:t>
      </w:r>
      <w:bookmarkEnd w:id="9"/>
      <w:bookmarkEnd w:id="10"/>
    </w:p>
    <w:p>
      <w:pPr>
        <w:keepNext w:val="0"/>
        <w:keepLines w:val="0"/>
        <w:pageBreakBefore w:val="0"/>
        <w:widowControl w:val="0"/>
        <w:kinsoku/>
        <w:wordWrap/>
        <w:overflowPunct/>
        <w:topLinePunct w:val="0"/>
        <w:autoSpaceDE/>
        <w:autoSpaceDN/>
        <w:bidi w:val="0"/>
        <w:adjustRightInd/>
        <w:snapToGrid/>
        <w:spacing w:line="240" w:lineRule="auto"/>
        <w:ind w:firstLine="2532" w:firstLineChars="1151"/>
        <w:textAlignment w:val="auto"/>
        <w:rPr>
          <w:rFonts w:hint="eastAsia" w:cs="等线"/>
          <w:highlight w:val="none"/>
        </w:rPr>
      </w:pPr>
      <w:r>
        <w:rPr>
          <w:rFonts w:hint="eastAsia" w:cs="等线"/>
          <w:highlight w:val="none"/>
        </w:rPr>
        <w:t>有利华建筑产业化（深圳）有限公司</w:t>
      </w:r>
      <w:bookmarkEnd w:id="8"/>
    </w:p>
    <w:p>
      <w:pPr>
        <w:keepNext w:val="0"/>
        <w:keepLines w:val="0"/>
        <w:pageBreakBefore w:val="0"/>
        <w:widowControl w:val="0"/>
        <w:kinsoku/>
        <w:wordWrap/>
        <w:overflowPunct/>
        <w:topLinePunct w:val="0"/>
        <w:autoSpaceDE/>
        <w:autoSpaceDN/>
        <w:bidi w:val="0"/>
        <w:adjustRightInd/>
        <w:snapToGrid/>
        <w:spacing w:line="240" w:lineRule="auto"/>
        <w:ind w:firstLine="452" w:firstLineChars="154"/>
        <w:textAlignment w:val="auto"/>
        <w:rPr>
          <w:rFonts w:hint="eastAsia" w:cs="等线"/>
          <w:szCs w:val="21"/>
          <w:highlight w:val="none"/>
        </w:rPr>
      </w:pPr>
      <w:r>
        <w:rPr>
          <w:rFonts w:hint="eastAsia" w:ascii="宋体" w:hAnsi="宋体"/>
          <w:spacing w:val="37"/>
          <w:kern w:val="0"/>
          <w:szCs w:val="21"/>
          <w:highlight w:val="none"/>
          <w:fitText w:val="2210" w:id="528944508"/>
        </w:rPr>
        <w:t>本标准参编单位</w:t>
      </w:r>
      <w:r>
        <w:rPr>
          <w:rFonts w:hint="eastAsia" w:cs="等线"/>
          <w:spacing w:val="6"/>
          <w:kern w:val="0"/>
          <w:highlight w:val="none"/>
          <w:fitText w:val="2210" w:id="528944508"/>
        </w:rPr>
        <w:t>：</w:t>
      </w:r>
      <w:r>
        <w:rPr>
          <w:rFonts w:hint="eastAsia" w:cs="等线"/>
          <w:szCs w:val="21"/>
          <w:highlight w:val="none"/>
        </w:rPr>
        <w:t>深圳市X</w:t>
      </w:r>
      <w:r>
        <w:rPr>
          <w:rFonts w:cs="等线"/>
          <w:szCs w:val="21"/>
          <w:highlight w:val="none"/>
        </w:rPr>
        <w:t>X</w:t>
      </w:r>
      <w:r>
        <w:rPr>
          <w:rFonts w:hint="eastAsia" w:cs="等线"/>
          <w:szCs w:val="21"/>
          <w:highlight w:val="none"/>
        </w:rPr>
        <w:t>有限公司</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jc w:val="left"/>
        <w:textAlignment w:val="auto"/>
        <w:rPr>
          <w:rFonts w:hint="eastAsia" w:cs="等线"/>
          <w:kern w:val="0"/>
          <w:highlight w:val="none"/>
        </w:rPr>
      </w:pPr>
      <w:r>
        <w:rPr>
          <w:rFonts w:hint="eastAsia" w:cs="等线"/>
          <w:spacing w:val="6"/>
          <w:kern w:val="0"/>
          <w:highlight w:val="none"/>
          <w:fitText w:val="2210" w:id="-1572572414"/>
        </w:rPr>
        <w:t>本标准主要起草人员</w:t>
      </w:r>
      <w:r>
        <w:rPr>
          <w:rFonts w:hint="eastAsia" w:cs="等线"/>
          <w:spacing w:val="1"/>
          <w:kern w:val="0"/>
          <w:highlight w:val="none"/>
          <w:fitText w:val="2210" w:id="-1572572414"/>
        </w:rPr>
        <w:t>：</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jc w:val="left"/>
        <w:textAlignment w:val="auto"/>
        <w:rPr>
          <w:rFonts w:hint="eastAsia" w:cs="等线"/>
          <w:kern w:val="0"/>
          <w:highlight w:val="none"/>
        </w:rPr>
      </w:pPr>
      <w:r>
        <w:rPr>
          <w:rFonts w:hint="eastAsia" w:ascii="宋体" w:hAnsi="宋体"/>
          <w:spacing w:val="6"/>
          <w:kern w:val="0"/>
          <w:szCs w:val="21"/>
          <w:highlight w:val="none"/>
          <w:fitText w:val="2210" w:id="-1572572415"/>
        </w:rPr>
        <w:t>本标准主要审查人员</w:t>
      </w:r>
      <w:r>
        <w:rPr>
          <w:rFonts w:hint="eastAsia" w:cs="等线"/>
          <w:spacing w:val="1"/>
          <w:kern w:val="0"/>
          <w:highlight w:val="none"/>
          <w:fitText w:val="2210" w:id="-1572572415"/>
        </w:rPr>
        <w:t>：</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jc w:val="left"/>
        <w:textAlignment w:val="auto"/>
        <w:rPr>
          <w:rFonts w:cs="等线"/>
          <w:highlight w:val="none"/>
        </w:rPr>
      </w:pPr>
      <w:r>
        <w:rPr>
          <w:rFonts w:hint="eastAsia" w:ascii="宋体" w:hAnsi="宋体"/>
          <w:spacing w:val="6"/>
          <w:kern w:val="0"/>
          <w:szCs w:val="21"/>
          <w:highlight w:val="none"/>
          <w:fitText w:val="2210" w:id="-1572572416"/>
        </w:rPr>
        <w:t>本标准主要指导人员</w:t>
      </w:r>
      <w:r>
        <w:rPr>
          <w:rFonts w:hint="eastAsia" w:ascii="宋体" w:hAnsi="宋体"/>
          <w:spacing w:val="1"/>
          <w:kern w:val="0"/>
          <w:szCs w:val="21"/>
          <w:highlight w:val="none"/>
          <w:fitText w:val="2210" w:id="-1572572416"/>
        </w:rPr>
        <w:t>：</w:t>
      </w:r>
    </w:p>
    <w:p>
      <w:pPr>
        <w:widowControl/>
        <w:spacing w:after="240" w:line="240" w:lineRule="auto"/>
        <w:rPr>
          <w:rFonts w:ascii="黑体" w:hAnsi="黑体" w:eastAsia="黑体"/>
          <w:sz w:val="30"/>
          <w:szCs w:val="30"/>
          <w:highlight w:val="none"/>
        </w:rPr>
      </w:pPr>
      <w:r>
        <w:rPr>
          <w:rFonts w:ascii="黑体" w:hAnsi="黑体" w:eastAsia="黑体"/>
          <w:sz w:val="30"/>
          <w:szCs w:val="30"/>
          <w:highlight w:val="none"/>
        </w:rPr>
        <w:br w:type="page"/>
      </w:r>
    </w:p>
    <w:p>
      <w:pPr>
        <w:pStyle w:val="10"/>
        <w:spacing w:before="360" w:after="360"/>
        <w:ind w:firstLine="0"/>
        <w:jc w:val="center"/>
        <w:rPr>
          <w:rFonts w:asciiTheme="minorHAnsi" w:hAnsiTheme="minorHAnsi" w:eastAsiaTheme="minorEastAsia" w:cstheme="minorBidi"/>
          <w:b/>
          <w:kern w:val="2"/>
          <w:sz w:val="21"/>
          <w:szCs w:val="22"/>
          <w:highlight w:val="none"/>
          <w:lang w:val="en-US" w:eastAsia="zh-CN" w:bidi="ar-SA"/>
        </w:rPr>
      </w:pPr>
      <w:r>
        <w:rPr>
          <w:rFonts w:hint="eastAsia" w:ascii="仿宋" w:hAnsi="仿宋" w:eastAsia="仿宋" w:cs="Times New Roman"/>
          <w:sz w:val="28"/>
          <w:szCs w:val="28"/>
          <w:highlight w:val="none"/>
        </w:rPr>
        <w:t xml:space="preserve">目 </w:t>
      </w:r>
      <w:r>
        <w:rPr>
          <w:rFonts w:ascii="仿宋" w:hAnsi="仿宋" w:eastAsia="仿宋" w:cs="Times New Roman"/>
          <w:sz w:val="28"/>
          <w:szCs w:val="28"/>
          <w:highlight w:val="none"/>
        </w:rPr>
        <w:t xml:space="preserve">   </w:t>
      </w:r>
      <w:r>
        <w:rPr>
          <w:rFonts w:hint="eastAsia" w:ascii="仿宋" w:hAnsi="仿宋" w:eastAsia="仿宋" w:cs="Times New Roman"/>
          <w:sz w:val="28"/>
          <w:szCs w:val="28"/>
          <w:highlight w:val="none"/>
        </w:rPr>
        <w:t>次</w:t>
      </w:r>
      <w:r>
        <w:rPr>
          <w:highlight w:val="none"/>
        </w:rPr>
        <w:fldChar w:fldCharType="begin"/>
      </w:r>
      <w:r>
        <w:rPr>
          <w:highlight w:val="none"/>
        </w:rPr>
        <w:instrText xml:space="preserve">TOC \o "1-2" \h \u </w:instrText>
      </w:r>
      <w:r>
        <w:rPr>
          <w:highlight w:val="none"/>
        </w:rPr>
        <w:fldChar w:fldCharType="separate"/>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both"/>
        <w:textAlignment w:val="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_Toc32203 </w:instrText>
      </w:r>
      <w:r>
        <w:rPr>
          <w:rFonts w:hint="eastAsia" w:ascii="宋体" w:hAnsi="宋体" w:eastAsia="宋体" w:cs="宋体"/>
          <w:highlight w:val="none"/>
        </w:rPr>
        <w:fldChar w:fldCharType="separate"/>
      </w:r>
      <w:r>
        <w:rPr>
          <w:rFonts w:hint="eastAsia" w:ascii="宋体" w:hAnsi="宋体" w:eastAsia="宋体" w:cs="宋体"/>
          <w:szCs w:val="21"/>
          <w:highlight w:val="none"/>
        </w:rPr>
        <w:t>1</w:t>
      </w:r>
      <w:r>
        <w:rPr>
          <w:rFonts w:hint="eastAsia" w:ascii="宋体" w:hAnsi="宋体" w:eastAsia="宋体" w:cs="宋体"/>
          <w:bCs w:val="0"/>
          <w:szCs w:val="21"/>
          <w:highlight w:val="none"/>
        </w:rPr>
        <w:t xml:space="preserve">  总    则</w:t>
      </w:r>
      <w:r>
        <w:rPr>
          <w:rFonts w:hint="eastAsia" w:ascii="宋体" w:hAnsi="宋体" w:eastAsia="宋体" w:cs="宋体"/>
          <w:sz w:val="11"/>
          <w:szCs w:val="11"/>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_Toc32203 \h </w:instrText>
      </w:r>
      <w:r>
        <w:rPr>
          <w:rFonts w:hint="eastAsia" w:ascii="宋体" w:hAnsi="宋体" w:eastAsia="宋体" w:cs="宋体"/>
          <w:highlight w:val="none"/>
        </w:rPr>
        <w:fldChar w:fldCharType="separate"/>
      </w:r>
      <w:r>
        <w:rPr>
          <w:rFonts w:hint="eastAsia" w:ascii="宋体" w:hAnsi="宋体" w:eastAsia="宋体" w:cs="宋体"/>
          <w:highlight w:val="none"/>
        </w:rPr>
        <w:t>1</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_Toc9322 </w:instrText>
      </w:r>
      <w:r>
        <w:rPr>
          <w:rFonts w:hint="eastAsia" w:ascii="宋体" w:hAnsi="宋体" w:eastAsia="宋体" w:cs="宋体"/>
          <w:highlight w:val="none"/>
        </w:rPr>
        <w:fldChar w:fldCharType="separate"/>
      </w:r>
      <w:r>
        <w:rPr>
          <w:rFonts w:hint="eastAsia" w:ascii="宋体" w:hAnsi="宋体" w:eastAsia="宋体" w:cs="宋体"/>
          <w:szCs w:val="21"/>
          <w:highlight w:val="none"/>
        </w:rPr>
        <w:t xml:space="preserve">2  </w:t>
      </w:r>
      <w:r>
        <w:rPr>
          <w:rFonts w:hint="eastAsia" w:ascii="宋体" w:hAnsi="宋体" w:eastAsia="宋体" w:cs="宋体"/>
          <w:bCs w:val="0"/>
          <w:szCs w:val="28"/>
          <w:highlight w:val="none"/>
        </w:rPr>
        <w:t>术</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语</w:t>
      </w:r>
      <w:r>
        <w:rPr>
          <w:rFonts w:hint="eastAsia" w:ascii="宋体" w:hAnsi="宋体" w:eastAsia="宋体" w:cs="宋体"/>
          <w:sz w:val="11"/>
          <w:szCs w:val="11"/>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_Toc9322 \h </w:instrText>
      </w:r>
      <w:r>
        <w:rPr>
          <w:rFonts w:hint="eastAsia" w:ascii="宋体" w:hAnsi="宋体" w:eastAsia="宋体" w:cs="宋体"/>
          <w:highlight w:val="none"/>
        </w:rPr>
        <w:fldChar w:fldCharType="separate"/>
      </w:r>
      <w:r>
        <w:rPr>
          <w:rFonts w:hint="eastAsia" w:ascii="宋体" w:hAnsi="宋体" w:eastAsia="宋体" w:cs="宋体"/>
          <w:highlight w:val="none"/>
        </w:rPr>
        <w:t>2</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_Toc31121 </w:instrText>
      </w:r>
      <w:r>
        <w:rPr>
          <w:rFonts w:hint="eastAsia" w:ascii="宋体" w:hAnsi="宋体" w:eastAsia="宋体" w:cs="宋体"/>
          <w:highlight w:val="none"/>
        </w:rPr>
        <w:fldChar w:fldCharType="separate"/>
      </w:r>
      <w:r>
        <w:rPr>
          <w:rFonts w:hint="eastAsia" w:ascii="宋体" w:hAnsi="宋体" w:eastAsia="宋体" w:cs="宋体"/>
          <w:szCs w:val="28"/>
          <w:highlight w:val="none"/>
        </w:rPr>
        <w:t xml:space="preserve">3  </w:t>
      </w:r>
      <w:r>
        <w:rPr>
          <w:rFonts w:hint="eastAsia" w:ascii="宋体" w:hAnsi="宋体" w:eastAsia="宋体" w:cs="宋体"/>
          <w:bCs w:val="0"/>
          <w:szCs w:val="28"/>
          <w:highlight w:val="none"/>
        </w:rPr>
        <w:t>基 本 规 定</w:t>
      </w:r>
      <w:r>
        <w:rPr>
          <w:rFonts w:hint="eastAsia" w:ascii="宋体" w:hAnsi="宋体" w:eastAsia="宋体" w:cs="宋体"/>
          <w:sz w:val="11"/>
          <w:szCs w:val="11"/>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_Toc31121 \h </w:instrText>
      </w:r>
      <w:r>
        <w:rPr>
          <w:rFonts w:hint="eastAsia" w:ascii="宋体" w:hAnsi="宋体" w:eastAsia="宋体" w:cs="宋体"/>
          <w:highlight w:val="none"/>
        </w:rPr>
        <w:fldChar w:fldCharType="separate"/>
      </w:r>
      <w:r>
        <w:rPr>
          <w:rFonts w:hint="eastAsia" w:ascii="宋体" w:hAnsi="宋体" w:eastAsia="宋体" w:cs="宋体"/>
          <w:highlight w:val="none"/>
        </w:rPr>
        <w:t>3</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_Toc5483 </w:instrText>
      </w:r>
      <w:r>
        <w:rPr>
          <w:rFonts w:hint="eastAsia" w:ascii="宋体" w:hAnsi="宋体" w:eastAsia="宋体" w:cs="宋体"/>
          <w:highlight w:val="none"/>
        </w:rPr>
        <w:fldChar w:fldCharType="separate"/>
      </w:r>
      <w:r>
        <w:rPr>
          <w:rFonts w:hint="eastAsia" w:ascii="宋体" w:hAnsi="宋体" w:eastAsia="宋体" w:cs="宋体"/>
          <w:szCs w:val="28"/>
          <w:highlight w:val="none"/>
        </w:rPr>
        <w:t>4</w:t>
      </w:r>
      <w:r>
        <w:rPr>
          <w:rFonts w:hint="eastAsia" w:ascii="宋体" w:hAnsi="宋体" w:eastAsia="宋体" w:cs="宋体"/>
          <w:bCs w:val="0"/>
          <w:szCs w:val="28"/>
          <w:highlight w:val="none"/>
        </w:rPr>
        <w:t xml:space="preserve"> </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材</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料</w:t>
      </w:r>
      <w:r>
        <w:rPr>
          <w:rFonts w:hint="eastAsia" w:ascii="宋体" w:hAnsi="宋体" w:eastAsia="宋体" w:cs="宋体"/>
          <w:sz w:val="11"/>
          <w:szCs w:val="11"/>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_Toc5483 \h </w:instrText>
      </w:r>
      <w:r>
        <w:rPr>
          <w:rFonts w:hint="eastAsia" w:ascii="宋体" w:hAnsi="宋体" w:eastAsia="宋体" w:cs="宋体"/>
          <w:highlight w:val="none"/>
        </w:rPr>
        <w:fldChar w:fldCharType="separate"/>
      </w:r>
      <w:r>
        <w:rPr>
          <w:rFonts w:hint="eastAsia" w:ascii="宋体" w:hAnsi="宋体" w:eastAsia="宋体" w:cs="宋体"/>
          <w:highlight w:val="none"/>
        </w:rPr>
        <w:t>4</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fldChar w:fldCharType="begin"/>
      </w:r>
      <w:r>
        <w:rPr>
          <w:rFonts w:hint="eastAsia" w:ascii="宋体" w:hAnsi="宋体" w:eastAsia="宋体" w:cs="宋体"/>
          <w:sz w:val="18"/>
          <w:szCs w:val="18"/>
          <w:highlight w:val="none"/>
        </w:rPr>
        <w:instrText xml:space="preserve"> HYPERLINK \l _Toc24481 </w:instrText>
      </w:r>
      <w:r>
        <w:rPr>
          <w:rFonts w:hint="eastAsia" w:ascii="宋体" w:hAnsi="宋体" w:eastAsia="宋体" w:cs="宋体"/>
          <w:sz w:val="18"/>
          <w:szCs w:val="18"/>
          <w:highlight w:val="none"/>
        </w:rPr>
        <w:fldChar w:fldCharType="separate"/>
      </w:r>
      <w:r>
        <w:rPr>
          <w:rFonts w:hint="eastAsia" w:ascii="宋体" w:hAnsi="宋体" w:eastAsia="宋体" w:cs="宋体"/>
          <w:sz w:val="18"/>
          <w:szCs w:val="18"/>
          <w:highlight w:val="none"/>
          <w:lang w:val="en-US" w:eastAsia="zh-CN"/>
        </w:rPr>
        <w:t>4</w:t>
      </w:r>
      <w:r>
        <w:rPr>
          <w:rFonts w:hint="eastAsia" w:ascii="宋体" w:hAnsi="宋体" w:eastAsia="宋体" w:cs="宋体"/>
          <w:sz w:val="18"/>
          <w:szCs w:val="18"/>
          <w:highlight w:val="none"/>
        </w:rPr>
        <w:t>.1</w:t>
      </w:r>
      <w:r>
        <w:rPr>
          <w:rFonts w:hint="eastAsia" w:ascii="宋体" w:hAnsi="宋体" w:eastAsia="宋体" w:cs="宋体"/>
          <w:bCs/>
          <w:kern w:val="2"/>
          <w:sz w:val="18"/>
          <w:szCs w:val="18"/>
          <w:highlight w:val="none"/>
          <w:lang w:val="en-US" w:eastAsia="zh-CN" w:bidi="ar-SA"/>
        </w:rPr>
        <w:t xml:space="preserve">  一 般 规 定</w:t>
      </w:r>
      <w:r>
        <w:rPr>
          <w:rFonts w:hint="eastAsia" w:ascii="宋体" w:hAnsi="宋体" w:eastAsia="宋体" w:cs="宋体"/>
          <w:sz w:val="11"/>
          <w:szCs w:val="11"/>
          <w:highlight w:val="none"/>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_Toc24481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sz w:val="18"/>
          <w:szCs w:val="18"/>
          <w:highlight w:val="none"/>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_Toc13600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4.2  钢    筋</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_Toc13600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_Toc12269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4.3  混 凝 土</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_Toc12269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_Toc18074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4.4  预 埋 件</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_Toc18074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5</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_Toc17031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4.5  预应力材料</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_Toc17031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highlight w:val="none"/>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_Toc20304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4.6  其他材料说明</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_Toc20304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highlight w:val="none"/>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_Toc9719 </w:instrText>
      </w:r>
      <w:r>
        <w:rPr>
          <w:rFonts w:hint="eastAsia" w:ascii="宋体" w:hAnsi="宋体" w:eastAsia="宋体" w:cs="宋体"/>
          <w:highlight w:val="none"/>
        </w:rPr>
        <w:fldChar w:fldCharType="separate"/>
      </w:r>
      <w:r>
        <w:rPr>
          <w:rFonts w:hint="eastAsia" w:ascii="宋体" w:hAnsi="宋体" w:eastAsia="宋体" w:cs="宋体"/>
          <w:szCs w:val="28"/>
          <w:highlight w:val="none"/>
          <w:lang w:val="en-US" w:eastAsia="zh-CN"/>
        </w:rPr>
        <w:t>5</w:t>
      </w:r>
      <w:r>
        <w:rPr>
          <w:rFonts w:hint="eastAsia" w:ascii="宋体" w:hAnsi="宋体" w:eastAsia="宋体" w:cs="宋体"/>
          <w:bCs w:val="0"/>
          <w:szCs w:val="28"/>
          <w:highlight w:val="none"/>
        </w:rPr>
        <w:t xml:space="preserve"> </w:t>
      </w:r>
      <w:r>
        <w:rPr>
          <w:rFonts w:hint="eastAsia" w:ascii="宋体" w:hAnsi="宋体" w:eastAsia="宋体" w:cs="宋体"/>
          <w:bCs w:val="0"/>
          <w:szCs w:val="28"/>
          <w:highlight w:val="none"/>
          <w:lang w:val="en-US" w:eastAsia="zh-CN"/>
        </w:rPr>
        <w:t xml:space="preserve"> 模    具</w:t>
      </w:r>
      <w:r>
        <w:rPr>
          <w:rFonts w:hint="eastAsia" w:ascii="宋体" w:hAnsi="宋体" w:eastAsia="宋体" w:cs="宋体"/>
          <w:sz w:val="11"/>
          <w:szCs w:val="11"/>
          <w:highlight w:val="none"/>
        </w:rPr>
        <w:tab/>
      </w:r>
      <w:r>
        <w:rPr>
          <w:rFonts w:hint="eastAsia" w:ascii="宋体" w:hAnsi="宋体" w:eastAsia="宋体" w:cs="宋体"/>
          <w:highlight w:val="none"/>
        </w:rPr>
        <w:fldChar w:fldCharType="begin"/>
      </w:r>
      <w:r>
        <w:rPr>
          <w:rFonts w:hint="eastAsia" w:ascii="宋体" w:hAnsi="宋体" w:eastAsia="宋体" w:cs="宋体"/>
          <w:highlight w:val="none"/>
        </w:rPr>
        <w:instrText xml:space="preserve"> PAGEREF _Toc9719 \h </w:instrText>
      </w:r>
      <w:r>
        <w:rPr>
          <w:rFonts w:hint="eastAsia" w:ascii="宋体" w:hAnsi="宋体" w:eastAsia="宋体" w:cs="宋体"/>
          <w:highlight w:val="none"/>
        </w:rPr>
        <w:fldChar w:fldCharType="separate"/>
      </w:r>
      <w:r>
        <w:rPr>
          <w:rFonts w:hint="eastAsia" w:ascii="宋体" w:hAnsi="宋体" w:eastAsia="宋体" w:cs="宋体"/>
          <w:highlight w:val="none"/>
        </w:rPr>
        <w:t>7</w:t>
      </w:r>
      <w:r>
        <w:rPr>
          <w:rFonts w:hint="eastAsia" w:ascii="宋体" w:hAnsi="宋体" w:eastAsia="宋体" w:cs="宋体"/>
          <w:highlight w:val="none"/>
        </w:rPr>
        <w:fldChar w:fldCharType="end"/>
      </w:r>
      <w:r>
        <w:rPr>
          <w:rFonts w:hint="eastAsia" w:ascii="宋体" w:hAnsi="宋体" w:eastAsia="宋体" w:cs="宋体"/>
          <w:highlight w:val="none"/>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_Toc28401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5.1  一 般 规 定</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_Toc28401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_Toc8548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5.2  材    料</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_Toc8548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_Toc17749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5.3  设    计</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_Toc17749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_Toc15702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5.4  制作与检验</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_Toc15702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_Toc10441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5.5  运    输</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_Toc10441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8</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highlight w:val="none"/>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_Toc12092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5.6  检查与维护</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_Toc12092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8</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bCs w:val="0"/>
          <w:szCs w:val="28"/>
          <w:highlight w:val="none"/>
          <w:lang w:val="en-US" w:eastAsia="zh-CN"/>
        </w:rPr>
      </w:pPr>
      <w:r>
        <w:rPr>
          <w:rFonts w:hint="eastAsia" w:ascii="宋体" w:hAnsi="宋体" w:eastAsia="宋体" w:cs="宋体"/>
          <w:bCs w:val="0"/>
          <w:szCs w:val="28"/>
          <w:highlight w:val="none"/>
          <w:lang w:val="en-US" w:eastAsia="zh-CN"/>
        </w:rPr>
        <w:fldChar w:fldCharType="begin"/>
      </w:r>
      <w:r>
        <w:rPr>
          <w:rFonts w:hint="eastAsia" w:ascii="宋体" w:hAnsi="宋体" w:eastAsia="宋体" w:cs="宋体"/>
          <w:bCs w:val="0"/>
          <w:szCs w:val="28"/>
          <w:highlight w:val="none"/>
          <w:lang w:val="en-US" w:eastAsia="zh-CN"/>
        </w:rPr>
        <w:instrText xml:space="preserve"> HYPERLINK \l _Toc14322 </w:instrText>
      </w:r>
      <w:r>
        <w:rPr>
          <w:rFonts w:hint="eastAsia" w:ascii="宋体" w:hAnsi="宋体" w:eastAsia="宋体" w:cs="宋体"/>
          <w:bCs w:val="0"/>
          <w:szCs w:val="28"/>
          <w:highlight w:val="none"/>
          <w:lang w:val="en-US" w:eastAsia="zh-CN"/>
        </w:rPr>
        <w:fldChar w:fldCharType="separate"/>
      </w:r>
      <w:r>
        <w:rPr>
          <w:rFonts w:hint="eastAsia" w:ascii="宋体" w:hAnsi="宋体" w:eastAsia="宋体" w:cs="宋体"/>
          <w:bCs w:val="0"/>
          <w:szCs w:val="28"/>
          <w:highlight w:val="none"/>
          <w:lang w:val="en-US" w:eastAsia="zh-CN"/>
        </w:rPr>
        <w:t>6  生    产</w:t>
      </w:r>
      <w:r>
        <w:rPr>
          <w:rFonts w:hint="eastAsia" w:ascii="宋体" w:hAnsi="宋体" w:eastAsia="宋体" w:cs="宋体"/>
          <w:bCs w:val="0"/>
          <w:sz w:val="11"/>
          <w:szCs w:val="11"/>
          <w:highlight w:val="none"/>
          <w:lang w:val="en-US" w:eastAsia="zh-CN"/>
        </w:rPr>
        <w:tab/>
      </w:r>
      <w:r>
        <w:rPr>
          <w:rFonts w:hint="eastAsia" w:ascii="宋体" w:hAnsi="宋体" w:eastAsia="宋体" w:cs="宋体"/>
          <w:bCs w:val="0"/>
          <w:szCs w:val="28"/>
          <w:highlight w:val="none"/>
          <w:lang w:val="en-US" w:eastAsia="zh-CN"/>
        </w:rPr>
        <w:fldChar w:fldCharType="begin"/>
      </w:r>
      <w:r>
        <w:rPr>
          <w:rFonts w:hint="eastAsia" w:ascii="宋体" w:hAnsi="宋体" w:eastAsia="宋体" w:cs="宋体"/>
          <w:bCs w:val="0"/>
          <w:szCs w:val="28"/>
          <w:highlight w:val="none"/>
          <w:lang w:val="en-US" w:eastAsia="zh-CN"/>
        </w:rPr>
        <w:instrText xml:space="preserve"> PAGEREF _Toc14322 \h </w:instrText>
      </w:r>
      <w:r>
        <w:rPr>
          <w:rFonts w:hint="eastAsia" w:ascii="宋体" w:hAnsi="宋体" w:eastAsia="宋体" w:cs="宋体"/>
          <w:bCs w:val="0"/>
          <w:szCs w:val="28"/>
          <w:highlight w:val="none"/>
          <w:lang w:val="en-US" w:eastAsia="zh-CN"/>
        </w:rPr>
        <w:fldChar w:fldCharType="separate"/>
      </w:r>
      <w:r>
        <w:rPr>
          <w:rFonts w:hint="eastAsia" w:ascii="宋体" w:hAnsi="宋体" w:eastAsia="宋体" w:cs="宋体"/>
          <w:bCs w:val="0"/>
          <w:szCs w:val="28"/>
          <w:highlight w:val="none"/>
          <w:lang w:val="en-US" w:eastAsia="zh-CN"/>
        </w:rPr>
        <w:t>9</w:t>
      </w:r>
      <w:r>
        <w:rPr>
          <w:rFonts w:hint="eastAsia" w:ascii="宋体" w:hAnsi="宋体" w:eastAsia="宋体" w:cs="宋体"/>
          <w:bCs w:val="0"/>
          <w:szCs w:val="28"/>
          <w:highlight w:val="none"/>
          <w:lang w:val="en-US" w:eastAsia="zh-CN"/>
        </w:rPr>
        <w:fldChar w:fldCharType="end"/>
      </w:r>
      <w:r>
        <w:rPr>
          <w:rFonts w:hint="eastAsia" w:ascii="宋体" w:hAnsi="宋体" w:eastAsia="宋体" w:cs="宋体"/>
          <w:bCs w:val="0"/>
          <w:szCs w:val="28"/>
          <w:highlight w:val="none"/>
          <w:lang w:val="en-US" w:eastAsia="zh-CN"/>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_Toc9809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6.1  一 般 规 定</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_Toc9809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9</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_Toc27552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6.2  生产前准备</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_Toc27552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9</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_Toc11427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6.3  钢筋加工、连接与安装</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_Toc11427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10</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_Toc12347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6.4  预留和预埋</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_Toc12347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11</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_Toc9535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6.5  混凝土浇筑与养护</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_Toc9535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11</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_Toc3006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6.6  脱模与修补</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_Toc3006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14</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_Toc30929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6.7  厂 内 堆 放</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_Toc30929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14</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_Toc15445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6.8  产 品 检 查</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_Toc15445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15</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_Toc19518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6.9  产 品 保 护</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_Toc19518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15</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highlight w:val="none"/>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_Toc23831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6.10  预应力构件</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_Toc23831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15</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highlight w:val="none"/>
        </w:rPr>
      </w:pP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HYPERLINK \l _Toc14585 </w:instrText>
      </w:r>
      <w:r>
        <w:rPr>
          <w:rFonts w:hint="eastAsia" w:ascii="宋体" w:hAnsi="宋体" w:eastAsia="宋体" w:cs="宋体"/>
          <w:bCs w:val="0"/>
          <w:szCs w:val="28"/>
          <w:highlight w:val="none"/>
        </w:rPr>
        <w:fldChar w:fldCharType="separate"/>
      </w:r>
      <w:r>
        <w:rPr>
          <w:rFonts w:hint="default" w:ascii="宋体" w:hAnsi="宋体" w:eastAsia="宋体" w:cs="宋体"/>
          <w:bCs w:val="0"/>
          <w:szCs w:val="28"/>
          <w:highlight w:val="none"/>
          <w:lang w:val="en-US" w:eastAsia="zh-CN"/>
        </w:rPr>
        <w:t>7</w:t>
      </w:r>
      <w:r>
        <w:rPr>
          <w:rFonts w:hint="eastAsia" w:ascii="宋体" w:hAnsi="宋体" w:eastAsia="宋体" w:cs="宋体"/>
          <w:bCs w:val="0"/>
          <w:szCs w:val="28"/>
          <w:highlight w:val="none"/>
          <w:lang w:val="en-US" w:eastAsia="zh-CN"/>
        </w:rPr>
        <w:t xml:space="preserve">  运    输</w:t>
      </w:r>
      <w:r>
        <w:rPr>
          <w:rFonts w:hint="eastAsia" w:ascii="宋体" w:hAnsi="宋体" w:eastAsia="宋体" w:cs="宋体"/>
          <w:bCs w:val="0"/>
          <w:sz w:val="11"/>
          <w:szCs w:val="11"/>
          <w:highlight w:val="none"/>
        </w:rPr>
        <w:tab/>
      </w: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PAGEREF _Toc14585 \h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18</w:t>
      </w:r>
      <w:r>
        <w:rPr>
          <w:rFonts w:hint="eastAsia" w:ascii="宋体" w:hAnsi="宋体" w:eastAsia="宋体" w:cs="宋体"/>
          <w:bCs w:val="0"/>
          <w:szCs w:val="28"/>
          <w:highlight w:val="none"/>
        </w:rPr>
        <w:fldChar w:fldCharType="end"/>
      </w:r>
      <w:r>
        <w:rPr>
          <w:rFonts w:hint="eastAsia" w:ascii="宋体" w:hAnsi="宋体" w:eastAsia="宋体" w:cs="宋体"/>
          <w:bCs w:val="0"/>
          <w:szCs w:val="28"/>
          <w:highlight w:val="none"/>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_Toc18813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7.1  一 般 规 定</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_Toc18813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18</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_Toc32040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7.2  运 输 准 备</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_Toc32040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18</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_Toc32116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7.3  车 辆 选 择</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_Toc32116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20</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_Toc2519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7.4  装    车</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_Toc2519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22</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_Toc24395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7.5  道 路 运 输</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_Toc24395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23</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_Toc18371 </w:instrText>
      </w:r>
      <w:r>
        <w:rPr>
          <w:rFonts w:hint="eastAsia" w:ascii="宋体" w:hAnsi="宋体" w:eastAsia="宋体" w:cs="宋体"/>
          <w:bCs/>
          <w:kern w:val="2"/>
          <w:sz w:val="18"/>
          <w:szCs w:val="18"/>
          <w:highlight w:val="none"/>
          <w:lang w:val="en-US" w:eastAsia="zh-CN" w:bidi="ar-SA"/>
        </w:rPr>
        <w:fldChar w:fldCharType="separate"/>
      </w:r>
      <w:r>
        <w:rPr>
          <w:rFonts w:hint="default" w:ascii="宋体" w:hAnsi="宋体" w:eastAsia="宋体" w:cs="宋体"/>
          <w:bCs/>
          <w:kern w:val="2"/>
          <w:sz w:val="18"/>
          <w:szCs w:val="18"/>
          <w:highlight w:val="none"/>
          <w:lang w:val="en-US" w:eastAsia="zh-CN" w:bidi="ar-SA"/>
        </w:rPr>
        <w:t>7</w:t>
      </w:r>
      <w:r>
        <w:rPr>
          <w:rFonts w:hint="eastAsia" w:ascii="宋体" w:hAnsi="宋体" w:eastAsia="宋体" w:cs="宋体"/>
          <w:bCs/>
          <w:kern w:val="2"/>
          <w:sz w:val="18"/>
          <w:szCs w:val="18"/>
          <w:highlight w:val="none"/>
          <w:lang w:val="en-US" w:eastAsia="zh-CN" w:bidi="ar-SA"/>
        </w:rPr>
        <w:t>.</w:t>
      </w:r>
      <w:r>
        <w:rPr>
          <w:rFonts w:hint="default" w:ascii="宋体" w:hAnsi="宋体" w:eastAsia="宋体" w:cs="宋体"/>
          <w:bCs/>
          <w:kern w:val="2"/>
          <w:sz w:val="18"/>
          <w:szCs w:val="18"/>
          <w:highlight w:val="none"/>
          <w:lang w:val="en-US" w:eastAsia="zh-CN" w:bidi="ar-SA"/>
        </w:rPr>
        <w:t>6</w:t>
      </w:r>
      <w:r>
        <w:rPr>
          <w:rFonts w:hint="eastAsia" w:ascii="宋体" w:hAnsi="宋体" w:eastAsia="宋体" w:cs="宋体"/>
          <w:bCs/>
          <w:kern w:val="2"/>
          <w:sz w:val="18"/>
          <w:szCs w:val="18"/>
          <w:highlight w:val="none"/>
          <w:lang w:val="en-US" w:eastAsia="zh-CN" w:bidi="ar-SA"/>
        </w:rPr>
        <w:t xml:space="preserve">  卸    车</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_Toc18371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24</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highlight w:val="none"/>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_Toc2510 </w:instrText>
      </w:r>
      <w:r>
        <w:rPr>
          <w:rFonts w:hint="eastAsia" w:ascii="宋体" w:hAnsi="宋体" w:eastAsia="宋体" w:cs="宋体"/>
          <w:bCs/>
          <w:kern w:val="2"/>
          <w:sz w:val="18"/>
          <w:szCs w:val="18"/>
          <w:highlight w:val="none"/>
          <w:lang w:val="en-US" w:eastAsia="zh-CN" w:bidi="ar-SA"/>
        </w:rPr>
        <w:fldChar w:fldCharType="separate"/>
      </w:r>
      <w:r>
        <w:rPr>
          <w:rFonts w:hint="default" w:ascii="宋体" w:hAnsi="宋体" w:eastAsia="宋体" w:cs="宋体"/>
          <w:bCs/>
          <w:kern w:val="2"/>
          <w:sz w:val="18"/>
          <w:szCs w:val="18"/>
          <w:highlight w:val="none"/>
          <w:lang w:val="en-US" w:eastAsia="zh-CN" w:bidi="ar-SA"/>
        </w:rPr>
        <w:t>7</w:t>
      </w:r>
      <w:r>
        <w:rPr>
          <w:rFonts w:hint="eastAsia" w:ascii="宋体" w:hAnsi="宋体" w:eastAsia="宋体" w:cs="宋体"/>
          <w:bCs/>
          <w:kern w:val="2"/>
          <w:sz w:val="18"/>
          <w:szCs w:val="18"/>
          <w:highlight w:val="none"/>
          <w:lang w:val="en-US" w:eastAsia="zh-CN" w:bidi="ar-SA"/>
        </w:rPr>
        <w:t>.7  现 场 存 放</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_Toc2510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24</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bCs w:val="0"/>
          <w:szCs w:val="28"/>
          <w:highlight w:val="none"/>
        </w:rPr>
      </w:pP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HYPERLINK \l _Toc28553 </w:instrText>
      </w:r>
      <w:r>
        <w:rPr>
          <w:rFonts w:hint="eastAsia" w:ascii="宋体" w:hAnsi="宋体" w:eastAsia="宋体" w:cs="宋体"/>
          <w:bCs w:val="0"/>
          <w:szCs w:val="28"/>
          <w:highlight w:val="none"/>
        </w:rPr>
        <w:fldChar w:fldCharType="separate"/>
      </w:r>
      <w:r>
        <w:rPr>
          <w:rFonts w:hint="default" w:ascii="宋体" w:hAnsi="宋体" w:eastAsia="宋体" w:cs="宋体"/>
          <w:bCs w:val="0"/>
          <w:szCs w:val="28"/>
          <w:highlight w:val="none"/>
          <w:lang w:val="en-US" w:eastAsia="zh-CN"/>
        </w:rPr>
        <w:t>8</w:t>
      </w:r>
      <w:r>
        <w:rPr>
          <w:rFonts w:hint="eastAsia" w:ascii="宋体" w:hAnsi="宋体" w:eastAsia="宋体" w:cs="宋体"/>
          <w:bCs w:val="0"/>
          <w:szCs w:val="28"/>
          <w:highlight w:val="none"/>
          <w:lang w:val="en-US" w:eastAsia="zh-CN"/>
        </w:rPr>
        <w:t xml:space="preserve">  产品标识与资料文件</w:t>
      </w:r>
      <w:r>
        <w:rPr>
          <w:rFonts w:hint="eastAsia" w:ascii="宋体" w:hAnsi="宋体" w:eastAsia="宋体" w:cs="宋体"/>
          <w:bCs w:val="0"/>
          <w:sz w:val="11"/>
          <w:szCs w:val="11"/>
          <w:highlight w:val="none"/>
        </w:rPr>
        <w:tab/>
      </w: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PAGEREF _Toc28553 \h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26</w:t>
      </w:r>
      <w:r>
        <w:rPr>
          <w:rFonts w:hint="eastAsia" w:ascii="宋体" w:hAnsi="宋体" w:eastAsia="宋体" w:cs="宋体"/>
          <w:bCs w:val="0"/>
          <w:szCs w:val="28"/>
          <w:highlight w:val="none"/>
        </w:rPr>
        <w:fldChar w:fldCharType="end"/>
      </w:r>
      <w:r>
        <w:rPr>
          <w:rFonts w:hint="eastAsia" w:ascii="宋体" w:hAnsi="宋体" w:eastAsia="宋体" w:cs="宋体"/>
          <w:bCs w:val="0"/>
          <w:szCs w:val="28"/>
          <w:highlight w:val="none"/>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_Toc8248 </w:instrText>
      </w:r>
      <w:r>
        <w:rPr>
          <w:rFonts w:hint="eastAsia" w:ascii="宋体" w:hAnsi="宋体" w:eastAsia="宋体" w:cs="宋体"/>
          <w:bCs/>
          <w:kern w:val="2"/>
          <w:sz w:val="18"/>
          <w:szCs w:val="18"/>
          <w:highlight w:val="none"/>
          <w:lang w:val="en-US" w:eastAsia="zh-CN" w:bidi="ar-SA"/>
        </w:rPr>
        <w:fldChar w:fldCharType="separate"/>
      </w:r>
      <w:r>
        <w:rPr>
          <w:rFonts w:hint="default" w:ascii="宋体" w:hAnsi="宋体" w:eastAsia="宋体" w:cs="宋体"/>
          <w:bCs/>
          <w:kern w:val="2"/>
          <w:sz w:val="18"/>
          <w:szCs w:val="18"/>
          <w:highlight w:val="none"/>
          <w:lang w:val="en-US" w:eastAsia="zh-CN" w:bidi="ar-SA"/>
        </w:rPr>
        <w:t>8</w:t>
      </w:r>
      <w:r>
        <w:rPr>
          <w:rFonts w:hint="eastAsia" w:ascii="宋体" w:hAnsi="宋体" w:eastAsia="宋体" w:cs="宋体"/>
          <w:bCs/>
          <w:kern w:val="2"/>
          <w:sz w:val="18"/>
          <w:szCs w:val="18"/>
          <w:highlight w:val="none"/>
          <w:lang w:val="en-US" w:eastAsia="zh-CN" w:bidi="ar-SA"/>
        </w:rPr>
        <w:t>.</w:t>
      </w:r>
      <w:r>
        <w:rPr>
          <w:rFonts w:hint="default" w:ascii="宋体" w:hAnsi="宋体" w:eastAsia="宋体" w:cs="宋体"/>
          <w:bCs/>
          <w:kern w:val="2"/>
          <w:sz w:val="18"/>
          <w:szCs w:val="18"/>
          <w:highlight w:val="none"/>
          <w:lang w:val="en-US" w:eastAsia="zh-CN" w:bidi="ar-SA"/>
        </w:rPr>
        <w:t>1</w:t>
      </w:r>
      <w:r>
        <w:rPr>
          <w:rFonts w:hint="eastAsia" w:ascii="宋体" w:hAnsi="宋体" w:eastAsia="宋体" w:cs="宋体"/>
          <w:bCs/>
          <w:kern w:val="2"/>
          <w:sz w:val="18"/>
          <w:szCs w:val="18"/>
          <w:highlight w:val="none"/>
          <w:lang w:val="en-US" w:eastAsia="zh-CN" w:bidi="ar-SA"/>
        </w:rPr>
        <w:t xml:space="preserve">  产 品 标 识</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_Toc8248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26</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highlight w:val="none"/>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_Toc30776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8.2  资 料 文 件</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_Toc30776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26</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bCs w:val="0"/>
          <w:szCs w:val="28"/>
          <w:highlight w:val="none"/>
        </w:rPr>
      </w:pP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HYPERLINK \l _Toc17146 </w:instrText>
      </w:r>
      <w:r>
        <w:rPr>
          <w:rFonts w:hint="eastAsia" w:ascii="宋体" w:hAnsi="宋体" w:eastAsia="宋体" w:cs="宋体"/>
          <w:bCs w:val="0"/>
          <w:szCs w:val="28"/>
          <w:highlight w:val="none"/>
        </w:rPr>
        <w:fldChar w:fldCharType="separate"/>
      </w:r>
      <w:r>
        <w:rPr>
          <w:rFonts w:hint="default" w:ascii="宋体" w:hAnsi="宋体" w:eastAsia="宋体" w:cs="宋体"/>
          <w:bCs w:val="0"/>
          <w:szCs w:val="28"/>
          <w:highlight w:val="none"/>
          <w:lang w:val="en-US" w:eastAsia="zh-CN"/>
        </w:rPr>
        <w:t>9</w:t>
      </w:r>
      <w:r>
        <w:rPr>
          <w:rFonts w:hint="eastAsia" w:ascii="宋体" w:hAnsi="宋体" w:eastAsia="宋体" w:cs="宋体"/>
          <w:bCs w:val="0"/>
          <w:szCs w:val="28"/>
          <w:highlight w:val="none"/>
          <w:lang w:val="en-US" w:eastAsia="zh-CN"/>
        </w:rPr>
        <w:t xml:space="preserve">  安全生产与环境保护</w:t>
      </w:r>
      <w:r>
        <w:rPr>
          <w:rFonts w:hint="eastAsia" w:ascii="宋体" w:hAnsi="宋体" w:eastAsia="宋体" w:cs="宋体"/>
          <w:bCs w:val="0"/>
          <w:sz w:val="11"/>
          <w:szCs w:val="11"/>
          <w:highlight w:val="none"/>
        </w:rPr>
        <w:tab/>
      </w: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PAGEREF _Toc17146 \h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28</w:t>
      </w:r>
      <w:r>
        <w:rPr>
          <w:rFonts w:hint="eastAsia" w:ascii="宋体" w:hAnsi="宋体" w:eastAsia="宋体" w:cs="宋体"/>
          <w:bCs w:val="0"/>
          <w:szCs w:val="28"/>
          <w:highlight w:val="none"/>
        </w:rPr>
        <w:fldChar w:fldCharType="end"/>
      </w:r>
      <w:r>
        <w:rPr>
          <w:rFonts w:hint="eastAsia" w:ascii="宋体" w:hAnsi="宋体" w:eastAsia="宋体" w:cs="宋体"/>
          <w:bCs w:val="0"/>
          <w:szCs w:val="28"/>
          <w:highlight w:val="none"/>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_Toc30623 </w:instrText>
      </w:r>
      <w:r>
        <w:rPr>
          <w:rFonts w:hint="eastAsia" w:ascii="宋体" w:hAnsi="宋体" w:eastAsia="宋体" w:cs="宋体"/>
          <w:bCs/>
          <w:kern w:val="2"/>
          <w:sz w:val="18"/>
          <w:szCs w:val="18"/>
          <w:highlight w:val="none"/>
          <w:lang w:val="en-US" w:eastAsia="zh-CN" w:bidi="ar-SA"/>
        </w:rPr>
        <w:fldChar w:fldCharType="separate"/>
      </w:r>
      <w:r>
        <w:rPr>
          <w:rFonts w:hint="default" w:ascii="宋体" w:hAnsi="宋体" w:eastAsia="宋体" w:cs="宋体"/>
          <w:bCs/>
          <w:kern w:val="2"/>
          <w:sz w:val="18"/>
          <w:szCs w:val="18"/>
          <w:highlight w:val="none"/>
          <w:lang w:val="en-US" w:eastAsia="zh-CN" w:bidi="ar-SA"/>
        </w:rPr>
        <w:t>9</w:t>
      </w:r>
      <w:r>
        <w:rPr>
          <w:rFonts w:hint="eastAsia" w:ascii="宋体" w:hAnsi="宋体" w:eastAsia="宋体" w:cs="宋体"/>
          <w:bCs/>
          <w:kern w:val="2"/>
          <w:sz w:val="18"/>
          <w:szCs w:val="18"/>
          <w:highlight w:val="none"/>
          <w:lang w:val="en-US" w:eastAsia="zh-CN" w:bidi="ar-SA"/>
        </w:rPr>
        <w:t>.</w:t>
      </w:r>
      <w:r>
        <w:rPr>
          <w:rFonts w:hint="default" w:ascii="宋体" w:hAnsi="宋体" w:eastAsia="宋体" w:cs="宋体"/>
          <w:bCs/>
          <w:kern w:val="2"/>
          <w:sz w:val="18"/>
          <w:szCs w:val="18"/>
          <w:highlight w:val="none"/>
          <w:lang w:val="en-US" w:eastAsia="zh-CN" w:bidi="ar-SA"/>
        </w:rPr>
        <w:t>1</w:t>
      </w:r>
      <w:r>
        <w:rPr>
          <w:rFonts w:hint="eastAsia" w:ascii="宋体" w:hAnsi="宋体" w:eastAsia="宋体" w:cs="宋体"/>
          <w:bCs/>
          <w:kern w:val="2"/>
          <w:sz w:val="18"/>
          <w:szCs w:val="18"/>
          <w:highlight w:val="none"/>
          <w:lang w:val="en-US" w:eastAsia="zh-CN" w:bidi="ar-SA"/>
        </w:rPr>
        <w:t xml:space="preserve">  安 全 生 产</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_Toc30623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28</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80" w:firstLineChars="200"/>
        <w:jc w:val="left"/>
        <w:textAlignment w:val="auto"/>
        <w:rPr>
          <w:highlight w:val="none"/>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_Toc13151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9.2  环 境 保 护</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_Toc13151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28</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highlight w:val="none"/>
        </w:rPr>
      </w:pP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HYPERLINK \l _Toc31616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本标准用词说明</w:t>
      </w:r>
      <w:r>
        <w:rPr>
          <w:rFonts w:hint="eastAsia" w:ascii="宋体" w:hAnsi="宋体" w:eastAsia="宋体" w:cs="宋体"/>
          <w:bCs w:val="0"/>
          <w:sz w:val="11"/>
          <w:szCs w:val="11"/>
          <w:highlight w:val="none"/>
        </w:rPr>
        <w:tab/>
      </w: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PAGEREF _Toc31616 \h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30</w:t>
      </w:r>
      <w:r>
        <w:rPr>
          <w:rFonts w:hint="eastAsia" w:ascii="宋体" w:hAnsi="宋体" w:eastAsia="宋体" w:cs="宋体"/>
          <w:bCs w:val="0"/>
          <w:szCs w:val="28"/>
          <w:highlight w:val="none"/>
        </w:rPr>
        <w:fldChar w:fldCharType="end"/>
      </w:r>
      <w:r>
        <w:rPr>
          <w:rFonts w:hint="eastAsia" w:ascii="宋体" w:hAnsi="宋体" w:eastAsia="宋体" w:cs="宋体"/>
          <w:bCs w:val="0"/>
          <w:szCs w:val="28"/>
          <w:highlight w:val="none"/>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bCs w:val="0"/>
          <w:szCs w:val="28"/>
          <w:highlight w:val="none"/>
        </w:rPr>
      </w:pP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HYPERLINK \l _Toc29112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引用标准名录</w:t>
      </w:r>
      <w:r>
        <w:rPr>
          <w:rFonts w:hint="eastAsia" w:ascii="宋体" w:hAnsi="宋体" w:eastAsia="宋体" w:cs="宋体"/>
          <w:bCs w:val="0"/>
          <w:sz w:val="11"/>
          <w:szCs w:val="11"/>
          <w:highlight w:val="none"/>
        </w:rPr>
        <w:tab/>
      </w: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PAGEREF _Toc29112 \h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31</w:t>
      </w:r>
      <w:r>
        <w:rPr>
          <w:rFonts w:hint="eastAsia" w:ascii="宋体" w:hAnsi="宋体" w:eastAsia="宋体" w:cs="宋体"/>
          <w:bCs w:val="0"/>
          <w:szCs w:val="28"/>
          <w:highlight w:val="none"/>
        </w:rPr>
        <w:fldChar w:fldCharType="end"/>
      </w:r>
      <w:r>
        <w:rPr>
          <w:rFonts w:hint="eastAsia" w:ascii="宋体" w:hAnsi="宋体" w:eastAsia="宋体" w:cs="宋体"/>
          <w:bCs w:val="0"/>
          <w:szCs w:val="28"/>
          <w:highlight w:val="none"/>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ascii="宋体" w:hAnsi="宋体" w:eastAsia="宋体" w:cs="Times New Roman"/>
          <w:highlight w:val="none"/>
        </w:rPr>
      </w:pPr>
      <w:r>
        <w:rPr>
          <w:rFonts w:hint="eastAsia" w:ascii="宋体" w:hAnsi="宋体" w:eastAsia="宋体" w:cs="Times New Roman"/>
          <w:highlight w:val="none"/>
        </w:rPr>
        <w:fldChar w:fldCharType="begin"/>
      </w:r>
      <w:r>
        <w:rPr>
          <w:rFonts w:hint="eastAsia" w:ascii="宋体" w:hAnsi="宋体" w:eastAsia="宋体" w:cs="Times New Roman"/>
          <w:highlight w:val="none"/>
        </w:rPr>
        <w:instrText xml:space="preserve"> HYPERLINK \l _Toc14581 </w:instrText>
      </w:r>
      <w:r>
        <w:rPr>
          <w:rFonts w:hint="eastAsia" w:ascii="宋体" w:hAnsi="宋体" w:eastAsia="宋体" w:cs="Times New Roman"/>
          <w:highlight w:val="none"/>
        </w:rPr>
        <w:fldChar w:fldCharType="separate"/>
      </w:r>
      <w:r>
        <w:rPr>
          <w:rFonts w:hint="eastAsia" w:ascii="宋体" w:hAnsi="宋体" w:eastAsia="宋体" w:cs="Times New Roman"/>
          <w:highlight w:val="none"/>
        </w:rPr>
        <w:t>条文说明</w:t>
      </w:r>
      <w:r>
        <w:rPr>
          <w:rFonts w:hint="eastAsia" w:ascii="宋体" w:hAnsi="宋体" w:eastAsia="宋体" w:cs="Times New Roman"/>
          <w:sz w:val="11"/>
          <w:szCs w:val="13"/>
          <w:highlight w:val="none"/>
        </w:rPr>
        <w:tab/>
      </w:r>
      <w:r>
        <w:rPr>
          <w:rFonts w:hint="eastAsia" w:ascii="宋体" w:hAnsi="宋体" w:eastAsia="宋体" w:cs="Times New Roman"/>
          <w:highlight w:val="none"/>
        </w:rPr>
        <w:fldChar w:fldCharType="begin"/>
      </w:r>
      <w:r>
        <w:rPr>
          <w:rFonts w:hint="eastAsia" w:ascii="宋体" w:hAnsi="宋体" w:eastAsia="宋体" w:cs="Times New Roman"/>
          <w:highlight w:val="none"/>
        </w:rPr>
        <w:instrText xml:space="preserve"> PAGEREF _Toc14581 \h </w:instrText>
      </w:r>
      <w:r>
        <w:rPr>
          <w:rFonts w:hint="eastAsia" w:ascii="宋体" w:hAnsi="宋体" w:eastAsia="宋体" w:cs="Times New Roman"/>
          <w:highlight w:val="none"/>
        </w:rPr>
        <w:fldChar w:fldCharType="separate"/>
      </w:r>
      <w:r>
        <w:rPr>
          <w:rFonts w:hint="eastAsia" w:ascii="宋体" w:hAnsi="宋体" w:eastAsia="宋体" w:cs="Times New Roman"/>
          <w:highlight w:val="none"/>
        </w:rPr>
        <w:t>33</w:t>
      </w:r>
      <w:r>
        <w:rPr>
          <w:rFonts w:hint="eastAsia" w:ascii="宋体" w:hAnsi="宋体" w:eastAsia="宋体" w:cs="Times New Roman"/>
          <w:highlight w:val="none"/>
        </w:rPr>
        <w:fldChar w:fldCharType="end"/>
      </w:r>
      <w:r>
        <w:rPr>
          <w:rFonts w:hint="eastAsia" w:ascii="宋体" w:hAnsi="宋体" w:eastAsia="宋体" w:cs="Times New Roman"/>
          <w:highlight w:val="none"/>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Times New Roman"/>
          <w:highlight w:val="none"/>
        </w:rPr>
      </w:pP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b/>
          <w:highlight w:val="none"/>
        </w:rPr>
      </w:pPr>
      <w:r>
        <w:rPr>
          <w:b/>
          <w:highlight w:val="none"/>
        </w:rPr>
        <w:fldChar w:fldCharType="end"/>
      </w:r>
    </w:p>
    <w:p>
      <w:pPr>
        <w:pStyle w:val="21"/>
        <w:widowControl/>
        <w:spacing w:before="240" w:after="0" w:line="360" w:lineRule="auto"/>
        <w:rPr>
          <w:highlight w:val="none"/>
        </w:rPr>
        <w:sectPr>
          <w:footerReference r:id="rId7" w:type="default"/>
          <w:pgSz w:w="11906" w:h="16838"/>
          <w:pgMar w:top="1610" w:right="1349" w:bottom="1213" w:left="1293" w:header="851" w:footer="992" w:gutter="0"/>
          <w:pgBorders>
            <w:top w:val="none" w:sz="0" w:space="0"/>
            <w:left w:val="none" w:sz="0" w:space="0"/>
            <w:bottom w:val="none" w:sz="0" w:space="0"/>
            <w:right w:val="none" w:sz="0" w:space="0"/>
          </w:pgBorders>
          <w:pgNumType w:start="1"/>
          <w:cols w:space="425" w:num="1"/>
          <w:docGrid w:type="linesAndChars" w:linePitch="333" w:charSpace="2165"/>
        </w:sectPr>
      </w:pPr>
      <w:r>
        <w:rPr>
          <w:highlight w:val="none"/>
        </w:rPr>
        <w:br w:type="page"/>
      </w:r>
    </w:p>
    <w:p>
      <w:pPr>
        <w:keepNext/>
        <w:keepLines/>
        <w:spacing w:after="360" w:line="240" w:lineRule="auto"/>
        <w:jc w:val="center"/>
        <w:outlineLvl w:val="0"/>
        <w:rPr>
          <w:rStyle w:val="23"/>
          <w:rFonts w:ascii="宋体" w:hAnsi="宋体" w:eastAsia="宋体" w:cs="Times New Roman"/>
          <w:b w:val="0"/>
          <w:bCs w:val="0"/>
          <w:sz w:val="28"/>
          <w:szCs w:val="21"/>
          <w:highlight w:val="none"/>
        </w:rPr>
      </w:pPr>
      <w:bookmarkStart w:id="11" w:name="_Toc32203"/>
      <w:bookmarkStart w:id="12" w:name="_Toc24619"/>
      <w:bookmarkStart w:id="13" w:name="_Toc3480"/>
      <w:r>
        <w:rPr>
          <w:rStyle w:val="23"/>
          <w:rFonts w:ascii="Times New Roman" w:hAnsi="Times New Roman" w:cs="Times New Roman"/>
          <w:sz w:val="28"/>
          <w:szCs w:val="21"/>
          <w:highlight w:val="none"/>
        </w:rPr>
        <w:t>1</w:t>
      </w:r>
      <w:r>
        <w:rPr>
          <w:rStyle w:val="23"/>
          <w:rFonts w:ascii="宋体" w:hAnsi="宋体" w:eastAsia="宋体" w:cs="Times New Roman"/>
          <w:b w:val="0"/>
          <w:bCs w:val="0"/>
          <w:sz w:val="28"/>
          <w:szCs w:val="21"/>
          <w:highlight w:val="none"/>
        </w:rPr>
        <w:t xml:space="preserve">  总    则</w:t>
      </w:r>
      <w:bookmarkEnd w:id="11"/>
      <w:bookmarkEnd w:id="12"/>
      <w:bookmarkEnd w:id="13"/>
    </w:p>
    <w:p>
      <w:pPr>
        <w:spacing w:line="240" w:lineRule="auto"/>
        <w:rPr>
          <w:szCs w:val="21"/>
          <w:highlight w:val="none"/>
        </w:rPr>
      </w:pPr>
      <w:r>
        <w:rPr>
          <w:b/>
          <w:bCs/>
          <w:szCs w:val="21"/>
          <w:highlight w:val="none"/>
        </w:rPr>
        <w:t>1</w:t>
      </w:r>
      <w:r>
        <w:rPr>
          <w:rFonts w:ascii="宋体" w:hAnsi="宋体"/>
          <w:b/>
          <w:bCs/>
          <w:szCs w:val="21"/>
          <w:highlight w:val="none"/>
        </w:rPr>
        <w:t>.</w:t>
      </w:r>
      <w:r>
        <w:rPr>
          <w:b/>
          <w:bCs/>
          <w:szCs w:val="21"/>
          <w:highlight w:val="none"/>
        </w:rPr>
        <w:t>0</w:t>
      </w:r>
      <w:r>
        <w:rPr>
          <w:rFonts w:ascii="宋体" w:hAnsi="宋体"/>
          <w:b/>
          <w:bCs/>
          <w:szCs w:val="21"/>
          <w:highlight w:val="none"/>
        </w:rPr>
        <w:t>.</w:t>
      </w:r>
      <w:r>
        <w:rPr>
          <w:b/>
          <w:bCs/>
          <w:szCs w:val="21"/>
          <w:highlight w:val="none"/>
        </w:rPr>
        <w:t>1</w:t>
      </w:r>
      <w:r>
        <w:rPr>
          <w:szCs w:val="21"/>
          <w:highlight w:val="none"/>
        </w:rPr>
        <w:t xml:space="preserve">  </w:t>
      </w:r>
      <w:r>
        <w:rPr>
          <w:rFonts w:hint="eastAsia"/>
          <w:szCs w:val="21"/>
          <w:highlight w:val="none"/>
        </w:rPr>
        <w:t>为推进装配式建筑高质量发展，统一预制混凝土构件生产与运输标准，保障装配式建筑工程质量，制定本标准。</w:t>
      </w:r>
    </w:p>
    <w:p>
      <w:pPr>
        <w:spacing w:line="240" w:lineRule="auto"/>
        <w:rPr>
          <w:szCs w:val="21"/>
          <w:highlight w:val="none"/>
        </w:rPr>
      </w:pPr>
      <w:r>
        <w:rPr>
          <w:b/>
          <w:bCs/>
          <w:szCs w:val="21"/>
          <w:highlight w:val="none"/>
        </w:rPr>
        <w:t>1</w:t>
      </w:r>
      <w:r>
        <w:rPr>
          <w:rFonts w:ascii="宋体" w:hAnsi="宋体"/>
          <w:b/>
          <w:bCs/>
          <w:szCs w:val="21"/>
          <w:highlight w:val="none"/>
        </w:rPr>
        <w:t>.</w:t>
      </w:r>
      <w:r>
        <w:rPr>
          <w:b/>
          <w:bCs/>
          <w:szCs w:val="21"/>
          <w:highlight w:val="none"/>
        </w:rPr>
        <w:t>0</w:t>
      </w:r>
      <w:r>
        <w:rPr>
          <w:rFonts w:ascii="宋体" w:hAnsi="宋体"/>
          <w:b/>
          <w:bCs/>
          <w:szCs w:val="21"/>
          <w:highlight w:val="none"/>
        </w:rPr>
        <w:t>.</w:t>
      </w:r>
      <w:r>
        <w:rPr>
          <w:b/>
          <w:bCs/>
          <w:szCs w:val="21"/>
          <w:highlight w:val="none"/>
        </w:rPr>
        <w:t xml:space="preserve">2  </w:t>
      </w:r>
      <w:r>
        <w:rPr>
          <w:rFonts w:hint="eastAsia"/>
          <w:szCs w:val="21"/>
          <w:highlight w:val="none"/>
        </w:rPr>
        <w:t>本标准适用于深圳市范围内新建装配式工业与民用建筑的预制混凝土构件生产与运输。</w:t>
      </w:r>
    </w:p>
    <w:p>
      <w:pPr>
        <w:spacing w:line="240" w:lineRule="auto"/>
        <w:rPr>
          <w:szCs w:val="21"/>
          <w:highlight w:val="none"/>
        </w:rPr>
      </w:pPr>
      <w:r>
        <w:rPr>
          <w:b/>
          <w:bCs/>
          <w:szCs w:val="21"/>
          <w:highlight w:val="none"/>
        </w:rPr>
        <w:t>1</w:t>
      </w:r>
      <w:r>
        <w:rPr>
          <w:rFonts w:ascii="宋体" w:hAnsi="宋体"/>
          <w:b/>
          <w:bCs/>
          <w:szCs w:val="21"/>
          <w:highlight w:val="none"/>
        </w:rPr>
        <w:t>.</w:t>
      </w:r>
      <w:r>
        <w:rPr>
          <w:b/>
          <w:bCs/>
          <w:szCs w:val="21"/>
          <w:highlight w:val="none"/>
        </w:rPr>
        <w:t>0</w:t>
      </w:r>
      <w:r>
        <w:rPr>
          <w:rFonts w:ascii="宋体" w:hAnsi="宋体"/>
          <w:b/>
          <w:bCs/>
          <w:szCs w:val="21"/>
          <w:highlight w:val="none"/>
        </w:rPr>
        <w:t>.</w:t>
      </w:r>
      <w:r>
        <w:rPr>
          <w:b/>
          <w:bCs/>
          <w:szCs w:val="21"/>
          <w:highlight w:val="none"/>
        </w:rPr>
        <w:t>3</w:t>
      </w:r>
      <w:r>
        <w:rPr>
          <w:rFonts w:hint="eastAsia"/>
          <w:szCs w:val="21"/>
          <w:highlight w:val="none"/>
        </w:rPr>
        <w:t xml:space="preserve"> </w:t>
      </w:r>
      <w:r>
        <w:rPr>
          <w:szCs w:val="21"/>
          <w:highlight w:val="none"/>
        </w:rPr>
        <w:t xml:space="preserve"> </w:t>
      </w:r>
      <w:r>
        <w:rPr>
          <w:rFonts w:hint="eastAsia"/>
          <w:szCs w:val="21"/>
          <w:highlight w:val="none"/>
        </w:rPr>
        <w:t>装配式建筑工程除应符合本标准的规定外，尚应遵守国家、行业、广东省和深圳市现行有关标准的规定。</w:t>
      </w:r>
    </w:p>
    <w:p>
      <w:pPr>
        <w:spacing w:line="240" w:lineRule="auto"/>
        <w:rPr>
          <w:szCs w:val="21"/>
          <w:highlight w:val="none"/>
        </w:rPr>
      </w:pPr>
      <w:r>
        <w:rPr>
          <w:b/>
          <w:bCs/>
          <w:szCs w:val="21"/>
          <w:highlight w:val="none"/>
        </w:rPr>
        <w:t>1</w:t>
      </w:r>
      <w:r>
        <w:rPr>
          <w:rFonts w:ascii="宋体" w:hAnsi="宋体"/>
          <w:b/>
          <w:bCs/>
          <w:szCs w:val="21"/>
          <w:highlight w:val="none"/>
        </w:rPr>
        <w:t>.</w:t>
      </w:r>
      <w:r>
        <w:rPr>
          <w:b/>
          <w:bCs/>
          <w:szCs w:val="21"/>
          <w:highlight w:val="none"/>
        </w:rPr>
        <w:t>0</w:t>
      </w:r>
      <w:r>
        <w:rPr>
          <w:rFonts w:ascii="宋体" w:hAnsi="宋体"/>
          <w:b/>
          <w:bCs/>
          <w:szCs w:val="21"/>
          <w:highlight w:val="none"/>
        </w:rPr>
        <w:t>.</w:t>
      </w:r>
      <w:r>
        <w:rPr>
          <w:b/>
          <w:bCs/>
          <w:szCs w:val="21"/>
          <w:highlight w:val="none"/>
        </w:rPr>
        <w:t>4</w:t>
      </w:r>
      <w:r>
        <w:rPr>
          <w:szCs w:val="21"/>
          <w:highlight w:val="none"/>
        </w:rPr>
        <w:t xml:space="preserve">  </w:t>
      </w:r>
      <w:r>
        <w:rPr>
          <w:rFonts w:hint="eastAsia"/>
          <w:szCs w:val="21"/>
          <w:highlight w:val="none"/>
        </w:rPr>
        <w:t>本标准实行动态修订，以保障其适用性。管理部门适时对局部章节、条款进行修订。</w:t>
      </w:r>
    </w:p>
    <w:p>
      <w:pPr>
        <w:widowControl/>
        <w:spacing w:line="240" w:lineRule="auto"/>
        <w:jc w:val="left"/>
        <w:rPr>
          <w:rFonts w:hint="eastAsia"/>
          <w:szCs w:val="21"/>
          <w:highlight w:val="none"/>
        </w:rPr>
      </w:pPr>
    </w:p>
    <w:p>
      <w:pPr>
        <w:widowControl/>
        <w:spacing w:line="240" w:lineRule="auto"/>
        <w:jc w:val="left"/>
        <w:rPr>
          <w:rFonts w:cs="等线" w:asciiTheme="minorEastAsia" w:hAnsiTheme="minorEastAsia"/>
          <w:highlight w:val="none"/>
        </w:rPr>
      </w:pPr>
      <w:r>
        <w:rPr>
          <w:rFonts w:cs="等线" w:asciiTheme="minorEastAsia" w:hAnsiTheme="minorEastAsia"/>
          <w:highlight w:val="none"/>
        </w:rPr>
        <w:br w:type="page"/>
      </w:r>
    </w:p>
    <w:p>
      <w:pPr>
        <w:keepNext/>
        <w:keepLines/>
        <w:spacing w:before="360" w:after="360" w:line="240" w:lineRule="auto"/>
        <w:jc w:val="center"/>
        <w:outlineLvl w:val="0"/>
        <w:rPr>
          <w:rStyle w:val="23"/>
          <w:rFonts w:ascii="宋体" w:hAnsi="宋体" w:eastAsia="宋体"/>
          <w:b w:val="0"/>
          <w:bCs w:val="0"/>
          <w:sz w:val="28"/>
          <w:szCs w:val="28"/>
          <w:highlight w:val="none"/>
        </w:rPr>
      </w:pPr>
      <w:bookmarkStart w:id="14" w:name="_Toc9322"/>
      <w:bookmarkStart w:id="15" w:name="_Toc32664"/>
      <w:bookmarkStart w:id="16" w:name="_Toc82523962"/>
      <w:bookmarkStart w:id="17" w:name="_Toc93998963"/>
      <w:bookmarkStart w:id="18" w:name="_Toc16054"/>
      <w:bookmarkStart w:id="19" w:name="_Toc93999724"/>
      <w:r>
        <w:rPr>
          <w:rStyle w:val="23"/>
          <w:rFonts w:ascii="Times New Roman" w:hAnsi="Times New Roman" w:cs="Times New Roman"/>
          <w:sz w:val="28"/>
          <w:szCs w:val="21"/>
          <w:highlight w:val="none"/>
        </w:rPr>
        <w:t>2</w:t>
      </w:r>
      <w:r>
        <w:rPr>
          <w:rStyle w:val="23"/>
          <w:rFonts w:hint="eastAsia" w:ascii="宋体" w:hAnsi="宋体"/>
          <w:sz w:val="28"/>
          <w:szCs w:val="21"/>
          <w:highlight w:val="none"/>
        </w:rPr>
        <w:t xml:space="preserve">  </w:t>
      </w:r>
      <w:r>
        <w:rPr>
          <w:rStyle w:val="23"/>
          <w:rFonts w:hint="eastAsia" w:ascii="宋体" w:hAnsi="宋体" w:eastAsia="宋体"/>
          <w:b w:val="0"/>
          <w:bCs w:val="0"/>
          <w:sz w:val="28"/>
          <w:szCs w:val="28"/>
          <w:highlight w:val="none"/>
        </w:rPr>
        <w:t>术</w:t>
      </w:r>
      <w:r>
        <w:rPr>
          <w:rStyle w:val="23"/>
          <w:rFonts w:hint="eastAsia" w:ascii="宋体" w:hAnsi="宋体"/>
          <w:b w:val="0"/>
          <w:bCs w:val="0"/>
          <w:sz w:val="28"/>
          <w:szCs w:val="28"/>
          <w:highlight w:val="none"/>
          <w:lang w:val="en-US" w:eastAsia="zh-CN"/>
        </w:rPr>
        <w:t xml:space="preserve">    </w:t>
      </w:r>
      <w:r>
        <w:rPr>
          <w:rStyle w:val="23"/>
          <w:rFonts w:hint="eastAsia" w:ascii="宋体" w:hAnsi="宋体" w:eastAsia="宋体"/>
          <w:b w:val="0"/>
          <w:bCs w:val="0"/>
          <w:sz w:val="28"/>
          <w:szCs w:val="28"/>
          <w:highlight w:val="none"/>
        </w:rPr>
        <w:t>语</w:t>
      </w:r>
      <w:bookmarkEnd w:id="14"/>
      <w:bookmarkEnd w:id="15"/>
      <w:bookmarkEnd w:id="16"/>
      <w:bookmarkEnd w:id="17"/>
      <w:bookmarkEnd w:id="18"/>
      <w:bookmarkEnd w:id="19"/>
    </w:p>
    <w:p>
      <w:pPr>
        <w:spacing w:line="240" w:lineRule="auto"/>
        <w:outlineLvl w:val="9"/>
        <w:rPr>
          <w:rFonts w:hint="eastAsia" w:cs="宋体"/>
          <w:szCs w:val="21"/>
          <w:highlight w:val="none"/>
        </w:rPr>
      </w:pPr>
      <w:r>
        <w:rPr>
          <w:rFonts w:hint="eastAsia" w:eastAsia="黑体"/>
          <w:b/>
          <w:bCs/>
          <w:szCs w:val="21"/>
          <w:highlight w:val="none"/>
        </w:rPr>
        <w:t>2</w:t>
      </w:r>
      <w:r>
        <w:rPr>
          <w:rFonts w:hint="eastAsia" w:ascii="宋体" w:hAnsi="宋体"/>
          <w:b/>
          <w:bCs/>
          <w:szCs w:val="21"/>
          <w:highlight w:val="none"/>
        </w:rPr>
        <w:t>.</w:t>
      </w:r>
      <w:r>
        <w:rPr>
          <w:rFonts w:hint="eastAsia" w:eastAsia="黑体"/>
          <w:b/>
          <w:bCs/>
          <w:szCs w:val="21"/>
          <w:highlight w:val="none"/>
          <w:lang w:val="en-US" w:eastAsia="zh-CN"/>
        </w:rPr>
        <w:t>0</w:t>
      </w:r>
      <w:r>
        <w:rPr>
          <w:rFonts w:hint="eastAsia" w:ascii="宋体" w:hAnsi="宋体"/>
          <w:b/>
          <w:bCs/>
          <w:szCs w:val="21"/>
          <w:highlight w:val="none"/>
        </w:rPr>
        <w:t>.</w:t>
      </w:r>
      <w:r>
        <w:rPr>
          <w:rFonts w:hint="eastAsia" w:eastAsia="黑体"/>
          <w:b/>
          <w:bCs/>
          <w:szCs w:val="21"/>
          <w:highlight w:val="none"/>
          <w:lang w:val="en-US" w:eastAsia="zh-CN"/>
        </w:rPr>
        <w:t>1</w:t>
      </w:r>
      <w:r>
        <w:rPr>
          <w:rFonts w:hint="eastAsia"/>
          <w:b/>
          <w:szCs w:val="21"/>
          <w:highlight w:val="none"/>
        </w:rPr>
        <w:t xml:space="preserve"> </w:t>
      </w:r>
      <w:r>
        <w:rPr>
          <w:rFonts w:ascii="黑体" w:hAnsi="黑体" w:eastAsia="黑体" w:cs="黑体"/>
          <w:b/>
          <w:szCs w:val="21"/>
          <w:highlight w:val="none"/>
        </w:rPr>
        <w:t xml:space="preserve"> </w:t>
      </w:r>
      <w:r>
        <w:rPr>
          <w:rFonts w:hint="eastAsia" w:cs="宋体"/>
          <w:szCs w:val="21"/>
          <w:highlight w:val="none"/>
        </w:rPr>
        <w:t xml:space="preserve">装配式混凝土建筑 </w:t>
      </w:r>
      <w:r>
        <w:rPr>
          <w:rFonts w:hint="eastAsia" w:cs="宋体"/>
          <w:szCs w:val="21"/>
          <w:highlight w:val="none"/>
          <w:lang w:val="en-US" w:eastAsia="zh-CN"/>
        </w:rPr>
        <w:t xml:space="preserve"> </w:t>
      </w:r>
      <w:r>
        <w:rPr>
          <w:rFonts w:hint="eastAsia" w:cs="宋体"/>
          <w:szCs w:val="21"/>
          <w:highlight w:val="none"/>
        </w:rPr>
        <w:t>assembled building with concrete structure</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szCs w:val="21"/>
          <w:highlight w:val="none"/>
        </w:rPr>
      </w:pPr>
      <w:r>
        <w:rPr>
          <w:kern w:val="0"/>
          <w:szCs w:val="21"/>
          <w:highlight w:val="none"/>
        </w:rPr>
        <w:t>建筑的结构系统由混凝土部件构成的装配式建筑。</w:t>
      </w:r>
    </w:p>
    <w:p>
      <w:pPr>
        <w:spacing w:line="240" w:lineRule="auto"/>
        <w:outlineLvl w:val="9"/>
        <w:rPr>
          <w:rFonts w:hint="eastAsia" w:cs="宋体"/>
          <w:szCs w:val="21"/>
          <w:highlight w:val="none"/>
        </w:rPr>
      </w:pPr>
      <w:bookmarkStart w:id="20" w:name="_Toc8191"/>
      <w:bookmarkStart w:id="21" w:name="_Toc18771"/>
      <w:r>
        <w:rPr>
          <w:rFonts w:hint="eastAsia" w:eastAsia="黑体"/>
          <w:b/>
          <w:bCs/>
          <w:szCs w:val="21"/>
          <w:highlight w:val="none"/>
        </w:rPr>
        <w:t>2</w:t>
      </w:r>
      <w:r>
        <w:rPr>
          <w:rFonts w:hint="eastAsia" w:ascii="宋体" w:hAnsi="宋体"/>
          <w:b/>
          <w:bCs/>
          <w:szCs w:val="21"/>
          <w:highlight w:val="none"/>
        </w:rPr>
        <w:t>.</w:t>
      </w:r>
      <w:r>
        <w:rPr>
          <w:rFonts w:hint="eastAsia" w:eastAsia="黑体"/>
          <w:b/>
          <w:bCs/>
          <w:szCs w:val="21"/>
          <w:highlight w:val="none"/>
          <w:lang w:val="en-US" w:eastAsia="zh-CN"/>
        </w:rPr>
        <w:t>0</w:t>
      </w:r>
      <w:r>
        <w:rPr>
          <w:rFonts w:hint="eastAsia" w:ascii="宋体" w:hAnsi="宋体"/>
          <w:b/>
          <w:bCs/>
          <w:szCs w:val="21"/>
          <w:highlight w:val="none"/>
        </w:rPr>
        <w:t>.</w:t>
      </w:r>
      <w:r>
        <w:rPr>
          <w:rFonts w:hint="eastAsia" w:eastAsia="黑体"/>
          <w:b/>
          <w:bCs/>
          <w:szCs w:val="21"/>
          <w:highlight w:val="none"/>
          <w:lang w:val="en-US" w:eastAsia="zh-CN"/>
        </w:rPr>
        <w:t>2</w:t>
      </w:r>
      <w:r>
        <w:rPr>
          <w:rFonts w:hint="eastAsia"/>
          <w:b/>
          <w:szCs w:val="21"/>
          <w:highlight w:val="none"/>
        </w:rPr>
        <w:t xml:space="preserve">  </w:t>
      </w:r>
      <w:r>
        <w:rPr>
          <w:rFonts w:hint="eastAsia" w:cs="宋体"/>
          <w:szCs w:val="21"/>
          <w:highlight w:val="none"/>
        </w:rPr>
        <w:t>预制混凝土构件</w:t>
      </w:r>
      <w:r>
        <w:rPr>
          <w:rFonts w:hint="eastAsia" w:cs="宋体"/>
          <w:szCs w:val="21"/>
          <w:highlight w:val="none"/>
          <w:lang w:val="en-US" w:eastAsia="zh-CN"/>
        </w:rPr>
        <w:t xml:space="preserve">  </w:t>
      </w:r>
      <w:r>
        <w:rPr>
          <w:rFonts w:hint="eastAsia" w:cs="宋体"/>
          <w:szCs w:val="21"/>
          <w:highlight w:val="none"/>
        </w:rPr>
        <w:t>precast concrete component</w:t>
      </w:r>
      <w:bookmarkEnd w:id="20"/>
      <w:bookmarkEnd w:id="21"/>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szCs w:val="21"/>
          <w:highlight w:val="none"/>
        </w:rPr>
      </w:pPr>
      <w:r>
        <w:rPr>
          <w:kern w:val="0"/>
          <w:szCs w:val="21"/>
          <w:highlight w:val="none"/>
        </w:rPr>
        <w:t>预先生产制作的混凝土构件。</w:t>
      </w:r>
    </w:p>
    <w:p>
      <w:pPr>
        <w:spacing w:line="240" w:lineRule="auto"/>
        <w:rPr>
          <w:rFonts w:hint="eastAsia" w:cs="宋体"/>
          <w:szCs w:val="21"/>
          <w:highlight w:val="none"/>
        </w:rPr>
      </w:pPr>
      <w:r>
        <w:rPr>
          <w:rFonts w:hint="eastAsia" w:eastAsia="黑体"/>
          <w:b/>
          <w:bCs/>
          <w:szCs w:val="21"/>
          <w:highlight w:val="none"/>
        </w:rPr>
        <w:t>2</w:t>
      </w:r>
      <w:r>
        <w:rPr>
          <w:rFonts w:hint="eastAsia" w:ascii="宋体" w:hAnsi="宋体"/>
          <w:b/>
          <w:bCs/>
          <w:szCs w:val="21"/>
          <w:highlight w:val="none"/>
        </w:rPr>
        <w:t>.</w:t>
      </w:r>
      <w:r>
        <w:rPr>
          <w:rFonts w:hint="eastAsia" w:eastAsia="黑体"/>
          <w:b/>
          <w:bCs/>
          <w:szCs w:val="21"/>
          <w:highlight w:val="none"/>
          <w:lang w:val="en-US" w:eastAsia="zh-CN"/>
        </w:rPr>
        <w:t>0</w:t>
      </w:r>
      <w:r>
        <w:rPr>
          <w:rFonts w:hint="eastAsia" w:ascii="宋体" w:hAnsi="宋体"/>
          <w:b/>
          <w:bCs/>
          <w:szCs w:val="21"/>
          <w:highlight w:val="none"/>
        </w:rPr>
        <w:t>.</w:t>
      </w:r>
      <w:r>
        <w:rPr>
          <w:rFonts w:hint="eastAsia" w:eastAsia="黑体"/>
          <w:b/>
          <w:bCs/>
          <w:szCs w:val="21"/>
          <w:highlight w:val="none"/>
          <w:lang w:val="en-US" w:eastAsia="zh-CN"/>
        </w:rPr>
        <w:t>3</w:t>
      </w:r>
      <w:r>
        <w:rPr>
          <w:rFonts w:hint="eastAsia"/>
          <w:b/>
          <w:szCs w:val="21"/>
          <w:highlight w:val="none"/>
        </w:rPr>
        <w:t xml:space="preserve">  </w:t>
      </w:r>
      <w:r>
        <w:rPr>
          <w:rFonts w:hint="eastAsia" w:cs="宋体"/>
          <w:szCs w:val="21"/>
          <w:highlight w:val="none"/>
        </w:rPr>
        <w:t>混凝土叠合构件</w:t>
      </w:r>
      <w:r>
        <w:rPr>
          <w:rFonts w:hint="eastAsia" w:cs="宋体"/>
          <w:szCs w:val="21"/>
          <w:highlight w:val="none"/>
          <w:lang w:val="en-US" w:eastAsia="zh-CN"/>
        </w:rPr>
        <w:t xml:space="preserve">  </w:t>
      </w:r>
      <w:r>
        <w:rPr>
          <w:rFonts w:hint="eastAsia" w:cs="宋体"/>
          <w:szCs w:val="21"/>
          <w:highlight w:val="none"/>
        </w:rPr>
        <w:t>composite concrete member</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szCs w:val="21"/>
          <w:highlight w:val="none"/>
        </w:rPr>
      </w:pPr>
      <w:r>
        <w:rPr>
          <w:rFonts w:hint="eastAsia"/>
          <w:kern w:val="0"/>
          <w:szCs w:val="21"/>
          <w:highlight w:val="none"/>
        </w:rPr>
        <w:t>由预制混凝土构件和现浇混凝土组成的整体混凝土构件，可分为“叠合梁”、“叠合板”等。</w:t>
      </w:r>
    </w:p>
    <w:p>
      <w:pPr>
        <w:spacing w:line="240" w:lineRule="auto"/>
        <w:outlineLvl w:val="9"/>
        <w:rPr>
          <w:rFonts w:hint="eastAsia" w:cs="宋体"/>
          <w:szCs w:val="21"/>
          <w:highlight w:val="none"/>
        </w:rPr>
      </w:pPr>
      <w:bookmarkStart w:id="22" w:name="_Toc23194"/>
      <w:bookmarkStart w:id="23" w:name="_Toc20657"/>
      <w:r>
        <w:rPr>
          <w:rFonts w:hint="eastAsia" w:eastAsia="黑体"/>
          <w:b/>
          <w:bCs/>
          <w:szCs w:val="21"/>
          <w:highlight w:val="none"/>
        </w:rPr>
        <w:t>2</w:t>
      </w:r>
      <w:r>
        <w:rPr>
          <w:rFonts w:hint="eastAsia" w:ascii="宋体" w:hAnsi="宋体"/>
          <w:b/>
          <w:bCs/>
          <w:szCs w:val="21"/>
          <w:highlight w:val="none"/>
        </w:rPr>
        <w:t>.</w:t>
      </w:r>
      <w:r>
        <w:rPr>
          <w:rFonts w:hint="eastAsia" w:eastAsia="黑体"/>
          <w:b/>
          <w:bCs/>
          <w:szCs w:val="21"/>
          <w:highlight w:val="none"/>
          <w:lang w:val="en-US" w:eastAsia="zh-CN"/>
        </w:rPr>
        <w:t>0</w:t>
      </w:r>
      <w:r>
        <w:rPr>
          <w:rFonts w:hint="eastAsia" w:ascii="宋体" w:hAnsi="宋体"/>
          <w:b/>
          <w:bCs/>
          <w:szCs w:val="21"/>
          <w:highlight w:val="none"/>
        </w:rPr>
        <w:t>.</w:t>
      </w:r>
      <w:r>
        <w:rPr>
          <w:rFonts w:hint="eastAsia" w:eastAsia="黑体"/>
          <w:b/>
          <w:bCs/>
          <w:szCs w:val="21"/>
          <w:highlight w:val="none"/>
          <w:lang w:val="en-US" w:eastAsia="zh-CN"/>
        </w:rPr>
        <w:t>4</w:t>
      </w:r>
      <w:r>
        <w:rPr>
          <w:rFonts w:hint="eastAsia"/>
          <w:b/>
          <w:szCs w:val="21"/>
          <w:highlight w:val="none"/>
        </w:rPr>
        <w:t xml:space="preserve">  </w:t>
      </w:r>
      <w:r>
        <w:rPr>
          <w:rFonts w:hint="eastAsia" w:cs="宋体"/>
          <w:szCs w:val="21"/>
          <w:highlight w:val="none"/>
        </w:rPr>
        <w:t xml:space="preserve">部件 </w:t>
      </w:r>
      <w:r>
        <w:rPr>
          <w:rFonts w:hint="eastAsia" w:cs="宋体"/>
          <w:szCs w:val="21"/>
          <w:highlight w:val="none"/>
          <w:lang w:val="en-US" w:eastAsia="zh-CN"/>
        </w:rPr>
        <w:t xml:space="preserve"> </w:t>
      </w:r>
      <w:r>
        <w:rPr>
          <w:rFonts w:hint="eastAsia" w:cs="宋体"/>
          <w:szCs w:val="21"/>
          <w:highlight w:val="none"/>
        </w:rPr>
        <w:t>component</w:t>
      </w:r>
      <w:bookmarkEnd w:id="22"/>
      <w:bookmarkEnd w:id="23"/>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szCs w:val="21"/>
          <w:highlight w:val="none"/>
        </w:rPr>
      </w:pPr>
      <w:r>
        <w:rPr>
          <w:rFonts w:hint="eastAsia"/>
          <w:kern w:val="0"/>
          <w:szCs w:val="21"/>
          <w:highlight w:val="none"/>
        </w:rPr>
        <w:t>预先</w:t>
      </w:r>
      <w:r>
        <w:rPr>
          <w:kern w:val="0"/>
          <w:szCs w:val="21"/>
          <w:highlight w:val="none"/>
        </w:rPr>
        <w:t>生产制作完成，</w:t>
      </w:r>
      <w:r>
        <w:rPr>
          <w:rFonts w:hint="eastAsia"/>
          <w:kern w:val="0"/>
          <w:szCs w:val="21"/>
          <w:highlight w:val="none"/>
        </w:rPr>
        <w:t>构成</w:t>
      </w:r>
      <w:r>
        <w:rPr>
          <w:kern w:val="0"/>
          <w:szCs w:val="21"/>
          <w:highlight w:val="none"/>
        </w:rPr>
        <w:t>建筑结构</w:t>
      </w:r>
      <w:r>
        <w:rPr>
          <w:rFonts w:hint="eastAsia"/>
          <w:kern w:val="0"/>
          <w:szCs w:val="21"/>
          <w:highlight w:val="none"/>
        </w:rPr>
        <w:t>系统</w:t>
      </w:r>
      <w:r>
        <w:rPr>
          <w:kern w:val="0"/>
          <w:szCs w:val="21"/>
          <w:highlight w:val="none"/>
        </w:rPr>
        <w:t>的结构构件及其</w:t>
      </w:r>
      <w:r>
        <w:rPr>
          <w:rFonts w:hint="eastAsia"/>
          <w:kern w:val="0"/>
          <w:szCs w:val="21"/>
          <w:highlight w:val="none"/>
        </w:rPr>
        <w:t>它</w:t>
      </w:r>
      <w:r>
        <w:rPr>
          <w:kern w:val="0"/>
          <w:szCs w:val="21"/>
          <w:highlight w:val="none"/>
        </w:rPr>
        <w:t>构件的统称。</w:t>
      </w:r>
    </w:p>
    <w:p>
      <w:pPr>
        <w:spacing w:line="240" w:lineRule="auto"/>
        <w:outlineLvl w:val="9"/>
        <w:rPr>
          <w:rFonts w:hint="eastAsia" w:cs="宋体"/>
          <w:szCs w:val="21"/>
          <w:highlight w:val="none"/>
        </w:rPr>
      </w:pPr>
      <w:bookmarkStart w:id="24" w:name="_Toc4783"/>
      <w:bookmarkStart w:id="25" w:name="_Toc14117"/>
      <w:r>
        <w:rPr>
          <w:rFonts w:hint="eastAsia" w:eastAsia="黑体"/>
          <w:b/>
          <w:bCs/>
          <w:szCs w:val="21"/>
          <w:highlight w:val="none"/>
        </w:rPr>
        <w:t>2</w:t>
      </w:r>
      <w:r>
        <w:rPr>
          <w:rFonts w:hint="eastAsia" w:ascii="宋体" w:hAnsi="宋体"/>
          <w:b/>
          <w:bCs/>
          <w:szCs w:val="21"/>
          <w:highlight w:val="none"/>
        </w:rPr>
        <w:t>.</w:t>
      </w:r>
      <w:r>
        <w:rPr>
          <w:rFonts w:hint="eastAsia" w:eastAsia="黑体"/>
          <w:b/>
          <w:bCs/>
          <w:szCs w:val="21"/>
          <w:highlight w:val="none"/>
          <w:lang w:val="en-US" w:eastAsia="zh-CN"/>
        </w:rPr>
        <w:t>0</w:t>
      </w:r>
      <w:r>
        <w:rPr>
          <w:rFonts w:hint="eastAsia" w:ascii="宋体" w:hAnsi="宋体"/>
          <w:b/>
          <w:bCs/>
          <w:szCs w:val="21"/>
          <w:highlight w:val="none"/>
        </w:rPr>
        <w:t>.</w:t>
      </w:r>
      <w:r>
        <w:rPr>
          <w:rFonts w:hint="eastAsia" w:eastAsia="黑体"/>
          <w:b/>
          <w:bCs/>
          <w:szCs w:val="21"/>
          <w:highlight w:val="none"/>
          <w:lang w:val="en-US" w:eastAsia="zh-CN"/>
        </w:rPr>
        <w:t>5</w:t>
      </w:r>
      <w:r>
        <w:rPr>
          <w:rFonts w:hint="eastAsia"/>
          <w:b/>
          <w:szCs w:val="21"/>
          <w:highlight w:val="none"/>
        </w:rPr>
        <w:t xml:space="preserve">  </w:t>
      </w:r>
      <w:r>
        <w:rPr>
          <w:rFonts w:hint="eastAsia" w:cs="宋体"/>
          <w:szCs w:val="21"/>
          <w:highlight w:val="none"/>
        </w:rPr>
        <w:t xml:space="preserve">部品 </w:t>
      </w:r>
      <w:r>
        <w:rPr>
          <w:rFonts w:hint="eastAsia" w:cs="宋体"/>
          <w:szCs w:val="21"/>
          <w:highlight w:val="none"/>
          <w:lang w:val="en-US" w:eastAsia="zh-CN"/>
        </w:rPr>
        <w:t xml:space="preserve"> </w:t>
      </w:r>
      <w:r>
        <w:rPr>
          <w:rFonts w:hint="eastAsia" w:cs="宋体"/>
          <w:szCs w:val="21"/>
          <w:highlight w:val="none"/>
        </w:rPr>
        <w:t>part</w:t>
      </w:r>
      <w:bookmarkEnd w:id="24"/>
      <w:bookmarkEnd w:id="25"/>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szCs w:val="21"/>
          <w:highlight w:val="none"/>
        </w:rPr>
      </w:pPr>
      <w:r>
        <w:rPr>
          <w:rFonts w:hint="eastAsia"/>
          <w:kern w:val="0"/>
          <w:szCs w:val="21"/>
          <w:highlight w:val="none"/>
        </w:rPr>
        <w:t>由</w:t>
      </w:r>
      <w:r>
        <w:rPr>
          <w:kern w:val="0"/>
          <w:szCs w:val="21"/>
          <w:highlight w:val="none"/>
        </w:rPr>
        <w:t>构成外围护体系</w:t>
      </w:r>
      <w:r>
        <w:rPr>
          <w:rFonts w:hint="eastAsia"/>
          <w:kern w:val="0"/>
          <w:szCs w:val="21"/>
          <w:highlight w:val="none"/>
        </w:rPr>
        <w:t>、</w:t>
      </w:r>
      <w:r>
        <w:rPr>
          <w:kern w:val="0"/>
          <w:szCs w:val="21"/>
          <w:highlight w:val="none"/>
        </w:rPr>
        <w:t>设备与管线系统、</w:t>
      </w:r>
      <w:r>
        <w:rPr>
          <w:rFonts w:hint="eastAsia"/>
          <w:kern w:val="0"/>
          <w:szCs w:val="21"/>
          <w:highlight w:val="none"/>
        </w:rPr>
        <w:t>内装系统</w:t>
      </w:r>
      <w:r>
        <w:rPr>
          <w:kern w:val="0"/>
          <w:szCs w:val="21"/>
          <w:highlight w:val="none"/>
        </w:rPr>
        <w:t>的建筑单一产品或</w:t>
      </w:r>
      <w:r>
        <w:rPr>
          <w:rFonts w:hint="eastAsia"/>
          <w:kern w:val="0"/>
          <w:szCs w:val="21"/>
          <w:highlight w:val="none"/>
        </w:rPr>
        <w:t>复合产品</w:t>
      </w:r>
      <w:r>
        <w:rPr>
          <w:kern w:val="0"/>
          <w:szCs w:val="21"/>
          <w:highlight w:val="none"/>
        </w:rPr>
        <w:t>组装而成的功能单元的统称。</w:t>
      </w:r>
    </w:p>
    <w:p>
      <w:pPr>
        <w:spacing w:line="240" w:lineRule="auto"/>
        <w:rPr>
          <w:rFonts w:hint="eastAsia" w:cs="宋体"/>
          <w:szCs w:val="21"/>
          <w:highlight w:val="none"/>
        </w:rPr>
      </w:pPr>
      <w:r>
        <w:rPr>
          <w:rFonts w:hint="eastAsia" w:eastAsia="黑体"/>
          <w:b/>
          <w:bCs/>
          <w:szCs w:val="21"/>
          <w:highlight w:val="none"/>
        </w:rPr>
        <w:t>2</w:t>
      </w:r>
      <w:r>
        <w:rPr>
          <w:rFonts w:hint="eastAsia" w:ascii="宋体" w:hAnsi="宋体"/>
          <w:b/>
          <w:bCs/>
          <w:szCs w:val="21"/>
          <w:highlight w:val="none"/>
        </w:rPr>
        <w:t>.</w:t>
      </w:r>
      <w:r>
        <w:rPr>
          <w:rFonts w:hint="eastAsia" w:eastAsia="黑体"/>
          <w:b/>
          <w:bCs/>
          <w:szCs w:val="21"/>
          <w:highlight w:val="none"/>
          <w:lang w:val="en-US" w:eastAsia="zh-CN"/>
        </w:rPr>
        <w:t>0</w:t>
      </w:r>
      <w:r>
        <w:rPr>
          <w:rFonts w:hint="eastAsia" w:ascii="宋体" w:hAnsi="宋体"/>
          <w:b/>
          <w:bCs/>
          <w:szCs w:val="21"/>
          <w:highlight w:val="none"/>
        </w:rPr>
        <w:t>.</w:t>
      </w:r>
      <w:r>
        <w:rPr>
          <w:rFonts w:hint="eastAsia" w:eastAsia="黑体"/>
          <w:b/>
          <w:bCs/>
          <w:szCs w:val="21"/>
          <w:highlight w:val="none"/>
          <w:lang w:val="en-US" w:eastAsia="zh-CN"/>
        </w:rPr>
        <w:t>6</w:t>
      </w:r>
      <w:r>
        <w:rPr>
          <w:rFonts w:hint="eastAsia"/>
          <w:b/>
          <w:szCs w:val="21"/>
          <w:highlight w:val="none"/>
        </w:rPr>
        <w:t xml:space="preserve">  </w:t>
      </w:r>
      <w:r>
        <w:rPr>
          <w:rFonts w:hint="eastAsia" w:cs="宋体"/>
          <w:szCs w:val="21"/>
          <w:highlight w:val="none"/>
        </w:rPr>
        <w:t xml:space="preserve">结构性能检验 </w:t>
      </w:r>
      <w:r>
        <w:rPr>
          <w:rFonts w:hint="eastAsia" w:cs="宋体"/>
          <w:szCs w:val="21"/>
          <w:highlight w:val="none"/>
          <w:lang w:val="en-US" w:eastAsia="zh-CN"/>
        </w:rPr>
        <w:t xml:space="preserve"> </w:t>
      </w:r>
      <w:r>
        <w:rPr>
          <w:rFonts w:hint="eastAsia" w:cs="宋体"/>
          <w:szCs w:val="21"/>
          <w:highlight w:val="none"/>
        </w:rPr>
        <w:t>inspection of structural performance</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szCs w:val="21"/>
          <w:highlight w:val="none"/>
        </w:rPr>
      </w:pPr>
      <w:r>
        <w:rPr>
          <w:rFonts w:hint="eastAsia"/>
          <w:kern w:val="0"/>
          <w:szCs w:val="21"/>
          <w:highlight w:val="none"/>
        </w:rPr>
        <w:t>针对</w:t>
      </w:r>
      <w:r>
        <w:rPr>
          <w:kern w:val="0"/>
          <w:szCs w:val="21"/>
          <w:highlight w:val="none"/>
        </w:rPr>
        <w:t>结构构件的承载力、</w:t>
      </w:r>
      <w:r>
        <w:rPr>
          <w:rFonts w:hint="eastAsia"/>
          <w:kern w:val="0"/>
          <w:szCs w:val="21"/>
          <w:highlight w:val="none"/>
        </w:rPr>
        <w:t>挠度</w:t>
      </w:r>
      <w:r>
        <w:rPr>
          <w:kern w:val="0"/>
          <w:szCs w:val="21"/>
          <w:highlight w:val="none"/>
        </w:rPr>
        <w:t>、</w:t>
      </w:r>
      <w:r>
        <w:rPr>
          <w:rFonts w:hint="eastAsia"/>
          <w:kern w:val="0"/>
          <w:szCs w:val="21"/>
          <w:highlight w:val="none"/>
        </w:rPr>
        <w:t>裂缝控制性能</w:t>
      </w:r>
      <w:r>
        <w:rPr>
          <w:kern w:val="0"/>
          <w:szCs w:val="21"/>
          <w:highlight w:val="none"/>
        </w:rPr>
        <w:t>等各项指标所进行的检验。</w:t>
      </w:r>
    </w:p>
    <w:p>
      <w:pPr>
        <w:spacing w:line="240" w:lineRule="auto"/>
        <w:rPr>
          <w:rFonts w:hint="eastAsia" w:cs="宋体"/>
          <w:szCs w:val="21"/>
          <w:highlight w:val="none"/>
        </w:rPr>
      </w:pPr>
      <w:r>
        <w:rPr>
          <w:rFonts w:hint="eastAsia" w:eastAsia="黑体"/>
          <w:b/>
          <w:bCs/>
          <w:szCs w:val="21"/>
          <w:highlight w:val="none"/>
        </w:rPr>
        <w:t>2</w:t>
      </w:r>
      <w:r>
        <w:rPr>
          <w:rFonts w:hint="eastAsia" w:ascii="宋体" w:hAnsi="宋体"/>
          <w:b/>
          <w:bCs/>
          <w:szCs w:val="21"/>
          <w:highlight w:val="none"/>
        </w:rPr>
        <w:t>.</w:t>
      </w:r>
      <w:r>
        <w:rPr>
          <w:rFonts w:hint="eastAsia" w:eastAsia="黑体"/>
          <w:b/>
          <w:bCs/>
          <w:szCs w:val="21"/>
          <w:highlight w:val="none"/>
          <w:lang w:val="en-US" w:eastAsia="zh-CN"/>
        </w:rPr>
        <w:t>0</w:t>
      </w:r>
      <w:r>
        <w:rPr>
          <w:rFonts w:hint="eastAsia" w:ascii="宋体" w:hAnsi="宋体"/>
          <w:b/>
          <w:bCs/>
          <w:szCs w:val="21"/>
          <w:highlight w:val="none"/>
        </w:rPr>
        <w:t>.</w:t>
      </w:r>
      <w:r>
        <w:rPr>
          <w:rFonts w:hint="eastAsia" w:eastAsia="黑体"/>
          <w:b/>
          <w:bCs/>
          <w:szCs w:val="21"/>
          <w:highlight w:val="none"/>
          <w:lang w:val="en-US" w:eastAsia="zh-CN"/>
        </w:rPr>
        <w:t>7</w:t>
      </w:r>
      <w:r>
        <w:rPr>
          <w:rFonts w:hint="eastAsia"/>
          <w:b/>
          <w:szCs w:val="21"/>
          <w:highlight w:val="none"/>
        </w:rPr>
        <w:t xml:space="preserve">  </w:t>
      </w:r>
      <w:r>
        <w:rPr>
          <w:rFonts w:hint="eastAsia" w:cs="宋体"/>
          <w:szCs w:val="21"/>
          <w:highlight w:val="none"/>
        </w:rPr>
        <w:t xml:space="preserve">建筑信息模型 </w:t>
      </w:r>
      <w:r>
        <w:rPr>
          <w:rFonts w:hint="eastAsia" w:cs="宋体"/>
          <w:szCs w:val="21"/>
          <w:highlight w:val="none"/>
          <w:lang w:val="en-US" w:eastAsia="zh-CN"/>
        </w:rPr>
        <w:t xml:space="preserve"> </w:t>
      </w:r>
      <w:r>
        <w:rPr>
          <w:rFonts w:hint="eastAsia" w:cs="宋体"/>
          <w:szCs w:val="21"/>
          <w:highlight w:val="none"/>
        </w:rPr>
        <w:t>building information model</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szCs w:val="21"/>
          <w:highlight w:val="none"/>
        </w:rPr>
      </w:pPr>
      <w:r>
        <w:rPr>
          <w:rFonts w:hint="eastAsia"/>
          <w:szCs w:val="21"/>
          <w:highlight w:val="none"/>
        </w:rPr>
        <w:t>全寿命期工程项目或其组成部分的物理特征、功能特性及管理要素等共享信息应用的</w:t>
      </w:r>
      <w:r>
        <w:rPr>
          <w:rFonts w:hint="eastAsia"/>
          <w:kern w:val="0"/>
          <w:szCs w:val="21"/>
          <w:highlight w:val="none"/>
        </w:rPr>
        <w:t>数字化表达，简称BIM。</w:t>
      </w:r>
    </w:p>
    <w:p>
      <w:pPr>
        <w:spacing w:line="240" w:lineRule="auto"/>
        <w:rPr>
          <w:rFonts w:hint="eastAsia" w:cs="宋体"/>
          <w:szCs w:val="21"/>
          <w:highlight w:val="none"/>
        </w:rPr>
      </w:pPr>
      <w:r>
        <w:rPr>
          <w:rFonts w:hint="eastAsia" w:eastAsia="黑体"/>
          <w:b/>
          <w:bCs/>
          <w:szCs w:val="21"/>
          <w:highlight w:val="none"/>
        </w:rPr>
        <w:t>2</w:t>
      </w:r>
      <w:r>
        <w:rPr>
          <w:rFonts w:hint="eastAsia" w:ascii="宋体" w:hAnsi="宋体"/>
          <w:b/>
          <w:bCs/>
          <w:szCs w:val="21"/>
          <w:highlight w:val="none"/>
        </w:rPr>
        <w:t>.</w:t>
      </w:r>
      <w:r>
        <w:rPr>
          <w:rFonts w:hint="eastAsia" w:eastAsia="黑体"/>
          <w:b/>
          <w:bCs/>
          <w:szCs w:val="21"/>
          <w:highlight w:val="none"/>
          <w:lang w:val="en-US" w:eastAsia="zh-CN"/>
        </w:rPr>
        <w:t>0</w:t>
      </w:r>
      <w:r>
        <w:rPr>
          <w:rFonts w:hint="eastAsia" w:ascii="宋体" w:hAnsi="宋体"/>
          <w:b/>
          <w:bCs/>
          <w:szCs w:val="21"/>
          <w:highlight w:val="none"/>
        </w:rPr>
        <w:t>.</w:t>
      </w:r>
      <w:r>
        <w:rPr>
          <w:rFonts w:hint="eastAsia" w:eastAsia="黑体"/>
          <w:b/>
          <w:bCs/>
          <w:szCs w:val="21"/>
          <w:highlight w:val="none"/>
          <w:lang w:val="en-US" w:eastAsia="zh-CN"/>
        </w:rPr>
        <w:t>8</w:t>
      </w:r>
      <w:r>
        <w:rPr>
          <w:rFonts w:hint="eastAsia"/>
          <w:b/>
          <w:szCs w:val="21"/>
          <w:highlight w:val="none"/>
        </w:rPr>
        <w:t xml:space="preserve">  </w:t>
      </w:r>
      <w:r>
        <w:rPr>
          <w:rFonts w:hint="eastAsia" w:cs="宋体"/>
          <w:szCs w:val="21"/>
          <w:highlight w:val="none"/>
        </w:rPr>
        <w:t xml:space="preserve">无线射频识别芯片 </w:t>
      </w:r>
      <w:r>
        <w:rPr>
          <w:rFonts w:hint="eastAsia" w:cs="宋体"/>
          <w:szCs w:val="21"/>
          <w:highlight w:val="none"/>
          <w:lang w:val="en-US" w:eastAsia="zh-CN"/>
        </w:rPr>
        <w:t xml:space="preserve"> </w:t>
      </w:r>
      <w:r>
        <w:rPr>
          <w:rFonts w:hint="eastAsia" w:cs="宋体"/>
          <w:szCs w:val="21"/>
          <w:highlight w:val="none"/>
        </w:rPr>
        <w:t>radio frequency identification chip</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szCs w:val="21"/>
          <w:highlight w:val="none"/>
        </w:rPr>
      </w:pPr>
      <w:r>
        <w:rPr>
          <w:rFonts w:hint="eastAsia"/>
          <w:kern w:val="0"/>
          <w:szCs w:val="21"/>
          <w:highlight w:val="none"/>
        </w:rPr>
        <w:t>无线射频识别是一种通信技术，可通过无线电讯号识别特定目标并读写相关数据，而无需识别系统与特定目标之间建立机械或光学接触。可制成芯片预埋在预制混凝土构件中，记录构件从设计、生产、施工过程中的全部信息，简称RFID芯片。</w:t>
      </w:r>
    </w:p>
    <w:p>
      <w:pPr>
        <w:spacing w:line="240" w:lineRule="auto"/>
        <w:outlineLvl w:val="9"/>
        <w:rPr>
          <w:rFonts w:hint="eastAsia" w:cs="宋体"/>
          <w:szCs w:val="21"/>
          <w:highlight w:val="none"/>
        </w:rPr>
      </w:pPr>
      <w:bookmarkStart w:id="26" w:name="_Toc20463"/>
      <w:bookmarkStart w:id="27" w:name="_Toc30613"/>
      <w:r>
        <w:rPr>
          <w:rFonts w:hint="eastAsia" w:eastAsia="黑体"/>
          <w:b/>
          <w:bCs/>
          <w:szCs w:val="21"/>
          <w:highlight w:val="none"/>
        </w:rPr>
        <w:t>2</w:t>
      </w:r>
      <w:r>
        <w:rPr>
          <w:rFonts w:hint="eastAsia" w:ascii="宋体" w:hAnsi="宋体"/>
          <w:b/>
          <w:bCs/>
          <w:szCs w:val="21"/>
          <w:highlight w:val="none"/>
        </w:rPr>
        <w:t>.</w:t>
      </w:r>
      <w:r>
        <w:rPr>
          <w:rFonts w:hint="eastAsia" w:eastAsia="黑体"/>
          <w:b/>
          <w:bCs/>
          <w:szCs w:val="21"/>
          <w:highlight w:val="none"/>
          <w:lang w:val="en-US" w:eastAsia="zh-CN"/>
        </w:rPr>
        <w:t>0</w:t>
      </w:r>
      <w:r>
        <w:rPr>
          <w:rFonts w:hint="eastAsia" w:ascii="宋体" w:hAnsi="宋体"/>
          <w:b/>
          <w:bCs/>
          <w:szCs w:val="21"/>
          <w:highlight w:val="none"/>
        </w:rPr>
        <w:t>.</w:t>
      </w:r>
      <w:r>
        <w:rPr>
          <w:rFonts w:hint="eastAsia" w:eastAsia="黑体"/>
          <w:b/>
          <w:bCs/>
          <w:szCs w:val="21"/>
          <w:highlight w:val="none"/>
          <w:lang w:val="en-US" w:eastAsia="zh-CN"/>
        </w:rPr>
        <w:t>9</w:t>
      </w:r>
      <w:r>
        <w:rPr>
          <w:rFonts w:hint="eastAsia"/>
          <w:b/>
          <w:bCs/>
          <w:szCs w:val="21"/>
          <w:highlight w:val="none"/>
        </w:rPr>
        <w:t xml:space="preserve">  </w:t>
      </w:r>
      <w:r>
        <w:rPr>
          <w:rFonts w:hint="eastAsia" w:cs="宋体"/>
          <w:szCs w:val="21"/>
          <w:highlight w:val="none"/>
        </w:rPr>
        <w:t xml:space="preserve">智能制造 </w:t>
      </w:r>
      <w:r>
        <w:rPr>
          <w:rFonts w:hint="eastAsia" w:cs="宋体"/>
          <w:szCs w:val="21"/>
          <w:highlight w:val="none"/>
          <w:lang w:val="en-US" w:eastAsia="zh-CN"/>
        </w:rPr>
        <w:t xml:space="preserve"> </w:t>
      </w:r>
      <w:r>
        <w:rPr>
          <w:rFonts w:hint="eastAsia" w:cs="宋体"/>
          <w:szCs w:val="21"/>
          <w:highlight w:val="none"/>
        </w:rPr>
        <w:t>intelligent manufacturing</w:t>
      </w:r>
      <w:bookmarkEnd w:id="26"/>
      <w:bookmarkEnd w:id="27"/>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szCs w:val="21"/>
          <w:highlight w:val="none"/>
        </w:rPr>
      </w:pPr>
      <w:r>
        <w:rPr>
          <w:rFonts w:hint="eastAsia"/>
          <w:kern w:val="0"/>
          <w:szCs w:val="21"/>
          <w:highlight w:val="none"/>
        </w:rPr>
        <w:t>智能制造是指利用先进的信息技术（如人工智能、大数据、物联网、云计算等）以及数字化技术来提高工厂生产效率、灵活性和智能化水平的制造模式。这种制造方式旨在通过集成和优化生产过程中的各种资源，从而实现更智能、高效、灵活、可持续的生产。</w:t>
      </w:r>
    </w:p>
    <w:p>
      <w:pPr>
        <w:spacing w:line="240" w:lineRule="auto"/>
        <w:rPr>
          <w:rFonts w:hint="eastAsia" w:cs="宋体"/>
          <w:szCs w:val="21"/>
          <w:highlight w:val="none"/>
        </w:rPr>
      </w:pPr>
    </w:p>
    <w:p>
      <w:pPr>
        <w:widowControl/>
        <w:jc w:val="left"/>
        <w:rPr>
          <w:rFonts w:cs="宋体"/>
          <w:szCs w:val="21"/>
          <w:highlight w:val="none"/>
        </w:rPr>
      </w:pPr>
      <w:r>
        <w:rPr>
          <w:rFonts w:cs="宋体"/>
          <w:szCs w:val="21"/>
          <w:highlight w:val="none"/>
        </w:rPr>
        <w:br w:type="page"/>
      </w:r>
    </w:p>
    <w:p>
      <w:pPr>
        <w:keepNext/>
        <w:keepLines/>
        <w:spacing w:before="360" w:after="360" w:line="240" w:lineRule="auto"/>
        <w:jc w:val="center"/>
        <w:outlineLvl w:val="0"/>
        <w:rPr>
          <w:rStyle w:val="23"/>
          <w:rFonts w:ascii="宋体" w:hAnsi="宋体" w:eastAsia="宋体"/>
          <w:b w:val="0"/>
          <w:bCs w:val="0"/>
          <w:sz w:val="28"/>
          <w:szCs w:val="28"/>
          <w:highlight w:val="none"/>
        </w:rPr>
      </w:pPr>
      <w:bookmarkStart w:id="28" w:name="_Toc93998964"/>
      <w:bookmarkStart w:id="29" w:name="_Toc93999725"/>
      <w:bookmarkStart w:id="30" w:name="_Toc31121"/>
      <w:bookmarkStart w:id="31" w:name="_Toc3257"/>
      <w:bookmarkStart w:id="32" w:name="_Toc15645"/>
      <w:r>
        <w:rPr>
          <w:rStyle w:val="23"/>
          <w:rFonts w:ascii="Times New Roman" w:hAnsi="Times New Roman" w:cs="Times New Roman"/>
          <w:sz w:val="28"/>
          <w:szCs w:val="28"/>
          <w:highlight w:val="none"/>
        </w:rPr>
        <w:t>3</w:t>
      </w:r>
      <w:r>
        <w:rPr>
          <w:rStyle w:val="23"/>
          <w:rFonts w:hint="eastAsia" w:ascii="宋体" w:hAnsi="宋体"/>
          <w:sz w:val="28"/>
          <w:szCs w:val="28"/>
          <w:highlight w:val="none"/>
        </w:rPr>
        <w:t xml:space="preserve">  </w:t>
      </w:r>
      <w:r>
        <w:rPr>
          <w:rStyle w:val="23"/>
          <w:rFonts w:hint="eastAsia" w:ascii="宋体" w:hAnsi="宋体" w:eastAsia="宋体"/>
          <w:b w:val="0"/>
          <w:bCs w:val="0"/>
          <w:sz w:val="28"/>
          <w:szCs w:val="28"/>
          <w:highlight w:val="none"/>
        </w:rPr>
        <w:t>基 本 规 定</w:t>
      </w:r>
      <w:bookmarkEnd w:id="28"/>
      <w:bookmarkEnd w:id="29"/>
      <w:bookmarkEnd w:id="30"/>
      <w:bookmarkEnd w:id="31"/>
      <w:bookmarkEnd w:id="32"/>
    </w:p>
    <w:p>
      <w:pPr>
        <w:spacing w:line="240" w:lineRule="auto"/>
        <w:rPr>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b/>
          <w:bCs/>
          <w:szCs w:val="21"/>
          <w:highlight w:val="none"/>
        </w:rPr>
        <w:t>1</w:t>
      </w:r>
      <w:r>
        <w:rPr>
          <w:rFonts w:hint="eastAsia"/>
          <w:b/>
          <w:bCs/>
          <w:szCs w:val="21"/>
          <w:highlight w:val="none"/>
        </w:rPr>
        <w:t xml:space="preserve">  </w:t>
      </w:r>
      <w:r>
        <w:rPr>
          <w:rFonts w:hint="eastAsia" w:cs="Courier New"/>
          <w:kern w:val="0"/>
          <w:szCs w:val="21"/>
          <w:highlight w:val="none"/>
        </w:rPr>
        <w:t>预制混凝土构件生产单位</w:t>
      </w:r>
      <w:r>
        <w:rPr>
          <w:rFonts w:hint="eastAsia"/>
          <w:szCs w:val="21"/>
          <w:highlight w:val="none"/>
        </w:rPr>
        <w:t>应具备</w:t>
      </w:r>
      <w:r>
        <w:rPr>
          <w:szCs w:val="21"/>
          <w:highlight w:val="none"/>
        </w:rPr>
        <w:t>保证产品顺利生产和产品质量把控的工艺设施</w:t>
      </w:r>
      <w:r>
        <w:rPr>
          <w:rFonts w:hint="eastAsia"/>
          <w:szCs w:val="21"/>
          <w:highlight w:val="none"/>
        </w:rPr>
        <w:t>、</w:t>
      </w:r>
      <w:r>
        <w:rPr>
          <w:szCs w:val="21"/>
          <w:highlight w:val="none"/>
        </w:rPr>
        <w:t>试验检测条件；</w:t>
      </w:r>
      <w:r>
        <w:rPr>
          <w:rFonts w:hint="eastAsia"/>
          <w:szCs w:val="21"/>
          <w:highlight w:val="none"/>
        </w:rPr>
        <w:t>生产及运输环节应</w:t>
      </w:r>
      <w:r>
        <w:rPr>
          <w:rFonts w:hint="eastAsia"/>
          <w:highlight w:val="none"/>
        </w:rPr>
        <w:t>建立完善</w:t>
      </w:r>
      <w:r>
        <w:rPr>
          <w:rFonts w:hint="eastAsia"/>
          <w:szCs w:val="21"/>
          <w:highlight w:val="none"/>
        </w:rPr>
        <w:t>的管理体系，保证全过程细节的可控性，产品质量指标的可追溯性。</w:t>
      </w:r>
    </w:p>
    <w:p>
      <w:pPr>
        <w:spacing w:line="240" w:lineRule="auto"/>
        <w:rPr>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rFonts w:hint="eastAsia"/>
          <w:b/>
          <w:bCs/>
          <w:szCs w:val="21"/>
          <w:highlight w:val="none"/>
          <w:lang w:val="en-US" w:eastAsia="zh-CN"/>
        </w:rPr>
        <w:t>2</w:t>
      </w:r>
      <w:r>
        <w:rPr>
          <w:rFonts w:hint="eastAsia"/>
          <w:b/>
          <w:bCs/>
          <w:szCs w:val="21"/>
          <w:highlight w:val="none"/>
        </w:rPr>
        <w:t xml:space="preserve">  </w:t>
      </w:r>
      <w:r>
        <w:rPr>
          <w:rFonts w:hint="eastAsia" w:cs="Courier New"/>
          <w:kern w:val="0"/>
          <w:szCs w:val="21"/>
          <w:highlight w:val="none"/>
        </w:rPr>
        <w:t>预制混凝土构件生产单位</w:t>
      </w:r>
      <w:r>
        <w:rPr>
          <w:szCs w:val="21"/>
          <w:highlight w:val="none"/>
        </w:rPr>
        <w:t>应</w:t>
      </w:r>
      <w:r>
        <w:rPr>
          <w:rFonts w:hint="eastAsia"/>
          <w:szCs w:val="21"/>
          <w:highlight w:val="none"/>
        </w:rPr>
        <w:t>积极提升</w:t>
      </w:r>
      <w:r>
        <w:rPr>
          <w:szCs w:val="21"/>
          <w:highlight w:val="none"/>
        </w:rPr>
        <w:t>自动化</w:t>
      </w:r>
      <w:r>
        <w:rPr>
          <w:rFonts w:hint="eastAsia"/>
          <w:szCs w:val="21"/>
          <w:highlight w:val="none"/>
        </w:rPr>
        <w:t>生产</w:t>
      </w:r>
      <w:r>
        <w:rPr>
          <w:szCs w:val="21"/>
          <w:highlight w:val="none"/>
        </w:rPr>
        <w:t>水平</w:t>
      </w:r>
      <w:r>
        <w:rPr>
          <w:rFonts w:hint="eastAsia"/>
          <w:szCs w:val="21"/>
          <w:highlight w:val="none"/>
        </w:rPr>
        <w:t>和信息化技术的应用，推进机器人替代人工作业。</w:t>
      </w:r>
    </w:p>
    <w:p>
      <w:pPr>
        <w:spacing w:line="240" w:lineRule="auto"/>
        <w:rPr>
          <w:b/>
          <w:bCs/>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rFonts w:hint="eastAsia"/>
          <w:b/>
          <w:bCs/>
          <w:szCs w:val="21"/>
          <w:highlight w:val="none"/>
          <w:lang w:val="en-US" w:eastAsia="zh-CN"/>
        </w:rPr>
        <w:t>3</w:t>
      </w:r>
      <w:r>
        <w:rPr>
          <w:rFonts w:hint="eastAsia"/>
          <w:b/>
          <w:bCs/>
          <w:highlight w:val="none"/>
        </w:rPr>
        <w:t xml:space="preserve">  </w:t>
      </w:r>
      <w:r>
        <w:rPr>
          <w:highlight w:val="none"/>
        </w:rPr>
        <w:t>预制</w:t>
      </w:r>
      <w:r>
        <w:rPr>
          <w:rFonts w:hint="eastAsia"/>
          <w:szCs w:val="21"/>
          <w:highlight w:val="none"/>
        </w:rPr>
        <w:t>混凝土</w:t>
      </w:r>
      <w:r>
        <w:rPr>
          <w:rFonts w:hint="eastAsia"/>
          <w:highlight w:val="none"/>
        </w:rPr>
        <w:t>构件的</w:t>
      </w:r>
      <w:r>
        <w:rPr>
          <w:rFonts w:hint="eastAsia"/>
          <w:szCs w:val="21"/>
          <w:highlight w:val="none"/>
        </w:rPr>
        <w:t>生产</w:t>
      </w:r>
      <w:r>
        <w:rPr>
          <w:rFonts w:hint="eastAsia"/>
          <w:highlight w:val="none"/>
        </w:rPr>
        <w:t>应符合绿色发展要求，宜选用绿色建材和建筑废弃物综合利用技术。</w:t>
      </w:r>
    </w:p>
    <w:p>
      <w:pPr>
        <w:spacing w:line="240" w:lineRule="auto"/>
        <w:rPr>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rFonts w:hint="eastAsia"/>
          <w:b/>
          <w:bCs/>
          <w:szCs w:val="21"/>
          <w:highlight w:val="none"/>
          <w:lang w:val="en-US" w:eastAsia="zh-CN"/>
        </w:rPr>
        <w:t>4</w:t>
      </w:r>
      <w:r>
        <w:rPr>
          <w:rFonts w:hint="eastAsia"/>
          <w:b/>
          <w:bCs/>
          <w:szCs w:val="21"/>
          <w:highlight w:val="none"/>
        </w:rPr>
        <w:t xml:space="preserve">  </w:t>
      </w:r>
      <w:r>
        <w:rPr>
          <w:rFonts w:hint="eastAsia"/>
          <w:szCs w:val="21"/>
          <w:highlight w:val="none"/>
        </w:rPr>
        <w:t>预制混凝土构件生产前，应由建设单位组织设计、生产、施工、监理等单位进行设计文件交底和会审。</w:t>
      </w:r>
    </w:p>
    <w:p>
      <w:pPr>
        <w:spacing w:line="240" w:lineRule="auto"/>
        <w:rPr>
          <w:b/>
          <w:bCs/>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rFonts w:hint="eastAsia"/>
          <w:b/>
          <w:bCs/>
          <w:szCs w:val="21"/>
          <w:highlight w:val="none"/>
          <w:lang w:val="en-US" w:eastAsia="zh-CN"/>
        </w:rPr>
        <w:t>5</w:t>
      </w:r>
      <w:r>
        <w:rPr>
          <w:rFonts w:hint="eastAsia"/>
          <w:b/>
          <w:bCs/>
          <w:szCs w:val="21"/>
          <w:highlight w:val="none"/>
        </w:rPr>
        <w:t xml:space="preserve">  </w:t>
      </w:r>
      <w:r>
        <w:rPr>
          <w:rFonts w:hint="eastAsia" w:cs="Courier New"/>
          <w:kern w:val="0"/>
          <w:szCs w:val="21"/>
          <w:highlight w:val="none"/>
        </w:rPr>
        <w:t>预制混凝土构件生产单位</w:t>
      </w:r>
      <w:r>
        <w:rPr>
          <w:rFonts w:hint="eastAsia"/>
          <w:szCs w:val="21"/>
          <w:highlight w:val="none"/>
        </w:rPr>
        <w:t>应根据生产工艺要求，对预制混凝土构件制作图纸进行工艺性审查并及时提出设计反馈。</w:t>
      </w:r>
    </w:p>
    <w:p>
      <w:pPr>
        <w:spacing w:line="240" w:lineRule="auto"/>
        <w:rPr>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rFonts w:hint="eastAsia"/>
          <w:b/>
          <w:bCs/>
          <w:szCs w:val="21"/>
          <w:highlight w:val="none"/>
          <w:lang w:val="en-US" w:eastAsia="zh-CN"/>
        </w:rPr>
        <w:t>6</w:t>
      </w:r>
      <w:r>
        <w:rPr>
          <w:rFonts w:hint="eastAsia"/>
          <w:b/>
          <w:bCs/>
          <w:szCs w:val="21"/>
          <w:highlight w:val="none"/>
        </w:rPr>
        <w:t xml:space="preserve">  </w:t>
      </w:r>
      <w:r>
        <w:rPr>
          <w:rFonts w:hint="eastAsia"/>
          <w:szCs w:val="21"/>
          <w:highlight w:val="none"/>
        </w:rPr>
        <w:t>混凝土拌合物及其</w:t>
      </w:r>
      <w:r>
        <w:rPr>
          <w:rFonts w:hint="eastAsia" w:cs="Courier New"/>
          <w:kern w:val="0"/>
          <w:szCs w:val="21"/>
          <w:highlight w:val="none"/>
        </w:rPr>
        <w:t>原材料</w:t>
      </w:r>
      <w:r>
        <w:rPr>
          <w:rFonts w:hint="eastAsia"/>
          <w:szCs w:val="21"/>
          <w:highlight w:val="none"/>
        </w:rPr>
        <w:t>、保温材料、连接件、模具、钢筋、钢筋连接套筒、预埋件等质量除应符合设计文件和本标准要求外，尚应符合国家现行有关标准的规定。</w:t>
      </w:r>
    </w:p>
    <w:p>
      <w:pPr>
        <w:spacing w:line="240" w:lineRule="auto"/>
        <w:rPr>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rFonts w:hint="eastAsia"/>
          <w:b/>
          <w:bCs/>
          <w:szCs w:val="21"/>
          <w:highlight w:val="none"/>
          <w:lang w:val="en-US" w:eastAsia="zh-CN"/>
        </w:rPr>
        <w:t>7</w:t>
      </w:r>
      <w:r>
        <w:rPr>
          <w:rFonts w:hint="eastAsia"/>
          <w:b/>
          <w:bCs/>
          <w:szCs w:val="21"/>
          <w:highlight w:val="none"/>
        </w:rPr>
        <w:t xml:space="preserve">  </w:t>
      </w:r>
      <w:r>
        <w:rPr>
          <w:rFonts w:hint="eastAsia" w:cs="Courier New"/>
          <w:kern w:val="0"/>
          <w:szCs w:val="21"/>
          <w:highlight w:val="none"/>
        </w:rPr>
        <w:t>预制混凝土构件生产单位</w:t>
      </w:r>
      <w:r>
        <w:rPr>
          <w:rFonts w:hint="eastAsia"/>
          <w:szCs w:val="21"/>
          <w:highlight w:val="none"/>
        </w:rPr>
        <w:t>的检测、试验、张拉等仪器设备、计量器均应按照国家标准计量部门的有关规定实行</w:t>
      </w:r>
      <w:r>
        <w:rPr>
          <w:rFonts w:hint="eastAsia" w:cs="Courier New"/>
          <w:kern w:val="0"/>
          <w:szCs w:val="21"/>
          <w:highlight w:val="none"/>
        </w:rPr>
        <w:t>定期</w:t>
      </w:r>
      <w:r>
        <w:rPr>
          <w:rFonts w:hint="eastAsia"/>
          <w:szCs w:val="21"/>
          <w:highlight w:val="none"/>
        </w:rPr>
        <w:t>检定。</w:t>
      </w:r>
    </w:p>
    <w:p>
      <w:pPr>
        <w:spacing w:line="240" w:lineRule="auto"/>
        <w:rPr>
          <w:strike/>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rFonts w:hint="eastAsia"/>
          <w:b/>
          <w:bCs/>
          <w:szCs w:val="21"/>
          <w:highlight w:val="none"/>
          <w:lang w:val="en-US" w:eastAsia="zh-CN"/>
        </w:rPr>
        <w:t>8</w:t>
      </w:r>
      <w:r>
        <w:rPr>
          <w:rFonts w:hint="eastAsia"/>
          <w:b/>
          <w:bCs/>
          <w:szCs w:val="21"/>
          <w:highlight w:val="none"/>
        </w:rPr>
        <w:t xml:space="preserve">  </w:t>
      </w:r>
      <w:r>
        <w:rPr>
          <w:rFonts w:hint="eastAsia"/>
          <w:szCs w:val="21"/>
          <w:highlight w:val="none"/>
        </w:rPr>
        <w:t>监理机构应根据</w:t>
      </w:r>
      <w:r>
        <w:rPr>
          <w:rFonts w:hint="eastAsia" w:cs="Courier New"/>
          <w:kern w:val="0"/>
          <w:szCs w:val="21"/>
          <w:highlight w:val="none"/>
        </w:rPr>
        <w:t>建设</w:t>
      </w:r>
      <w:r>
        <w:rPr>
          <w:rFonts w:hint="eastAsia"/>
          <w:szCs w:val="21"/>
          <w:highlight w:val="none"/>
        </w:rPr>
        <w:t>单位</w:t>
      </w:r>
      <w:r>
        <w:rPr>
          <w:rFonts w:hint="eastAsia" w:cs="Courier New"/>
          <w:kern w:val="0"/>
          <w:szCs w:val="21"/>
          <w:highlight w:val="none"/>
        </w:rPr>
        <w:t>要求</w:t>
      </w:r>
      <w:r>
        <w:rPr>
          <w:rFonts w:hint="eastAsia"/>
          <w:szCs w:val="21"/>
          <w:highlight w:val="none"/>
        </w:rPr>
        <w:t>，对预制混凝土构件的生产过程和质量进行监督。</w:t>
      </w:r>
    </w:p>
    <w:p>
      <w:pPr>
        <w:spacing w:line="240" w:lineRule="auto"/>
        <w:rPr>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rFonts w:hint="eastAsia"/>
          <w:b/>
          <w:bCs/>
          <w:szCs w:val="21"/>
          <w:highlight w:val="none"/>
          <w:lang w:val="en-US" w:eastAsia="zh-CN"/>
        </w:rPr>
        <w:t>9</w:t>
      </w:r>
      <w:r>
        <w:rPr>
          <w:rFonts w:hint="eastAsia"/>
          <w:b/>
          <w:bCs/>
          <w:szCs w:val="21"/>
          <w:highlight w:val="none"/>
        </w:rPr>
        <w:t xml:space="preserve">  </w:t>
      </w:r>
      <w:r>
        <w:rPr>
          <w:rFonts w:hint="eastAsia"/>
          <w:szCs w:val="21"/>
          <w:highlight w:val="none"/>
        </w:rPr>
        <w:t>预制混凝土构件生产中采用新技术、新工艺、新材料或新设备时，生产单位应制定专项的生产方案并进行样品</w:t>
      </w:r>
      <w:r>
        <w:rPr>
          <w:rFonts w:hint="eastAsia" w:cs="Courier New"/>
          <w:kern w:val="0"/>
          <w:szCs w:val="21"/>
          <w:highlight w:val="none"/>
        </w:rPr>
        <w:t>试制</w:t>
      </w:r>
      <w:r>
        <w:rPr>
          <w:rFonts w:hint="eastAsia"/>
          <w:szCs w:val="21"/>
          <w:highlight w:val="none"/>
        </w:rPr>
        <w:t>，符合要求后方可批量生产。</w:t>
      </w:r>
    </w:p>
    <w:p>
      <w:pPr>
        <w:spacing w:line="240" w:lineRule="auto"/>
        <w:rPr>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b/>
          <w:bCs/>
          <w:szCs w:val="21"/>
          <w:highlight w:val="none"/>
        </w:rPr>
        <w:t>1</w:t>
      </w:r>
      <w:r>
        <w:rPr>
          <w:rFonts w:hint="eastAsia"/>
          <w:b/>
          <w:bCs/>
          <w:szCs w:val="21"/>
          <w:highlight w:val="none"/>
          <w:lang w:val="en-US" w:eastAsia="zh-CN"/>
        </w:rPr>
        <w:t>0</w:t>
      </w:r>
      <w:r>
        <w:rPr>
          <w:rFonts w:hint="eastAsia"/>
          <w:b/>
          <w:bCs/>
          <w:szCs w:val="21"/>
          <w:highlight w:val="none"/>
        </w:rPr>
        <w:t xml:space="preserve">  </w:t>
      </w:r>
      <w:r>
        <w:rPr>
          <w:rFonts w:hint="eastAsia"/>
          <w:szCs w:val="21"/>
          <w:highlight w:val="none"/>
        </w:rPr>
        <w:t>预制混凝土构件出厂前应</w:t>
      </w:r>
      <w:r>
        <w:rPr>
          <w:rFonts w:hint="eastAsia" w:cs="Courier New"/>
          <w:kern w:val="0"/>
          <w:szCs w:val="21"/>
          <w:highlight w:val="none"/>
        </w:rPr>
        <w:t>做好</w:t>
      </w:r>
      <w:r>
        <w:rPr>
          <w:rFonts w:hint="eastAsia"/>
          <w:szCs w:val="21"/>
          <w:highlight w:val="none"/>
        </w:rPr>
        <w:t>运输路线规划，运输路况调查并编制运输方案；根据构件尺寸和运输车辆型号编制运输排车图，设计构件运输的固定支架并采取有效的安全防护措施。</w:t>
      </w:r>
    </w:p>
    <w:p>
      <w:pPr>
        <w:spacing w:line="240" w:lineRule="auto"/>
        <w:rPr>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b/>
          <w:bCs/>
          <w:szCs w:val="21"/>
          <w:highlight w:val="none"/>
        </w:rPr>
        <w:t>1</w:t>
      </w:r>
      <w:r>
        <w:rPr>
          <w:rFonts w:hint="eastAsia"/>
          <w:b/>
          <w:bCs/>
          <w:szCs w:val="21"/>
          <w:highlight w:val="none"/>
          <w:lang w:val="en-US" w:eastAsia="zh-CN"/>
        </w:rPr>
        <w:t>1</w:t>
      </w:r>
      <w:r>
        <w:rPr>
          <w:rFonts w:hint="eastAsia"/>
          <w:b/>
          <w:bCs/>
          <w:szCs w:val="21"/>
          <w:highlight w:val="none"/>
        </w:rPr>
        <w:t xml:space="preserve">  </w:t>
      </w:r>
      <w:r>
        <w:rPr>
          <w:rFonts w:hint="eastAsia"/>
          <w:szCs w:val="21"/>
          <w:highlight w:val="none"/>
        </w:rPr>
        <w:t>预制混凝土构件生产过程中的安全措施、劳动防护、防火要求等，应符合国家、行业和地方现行有关标准的规定。</w:t>
      </w:r>
    </w:p>
    <w:p>
      <w:pPr>
        <w:spacing w:line="240" w:lineRule="auto"/>
        <w:rPr>
          <w:rFonts w:hint="eastAsia"/>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b/>
          <w:bCs/>
          <w:szCs w:val="21"/>
          <w:highlight w:val="none"/>
        </w:rPr>
        <w:t>1</w:t>
      </w:r>
      <w:r>
        <w:rPr>
          <w:rFonts w:hint="eastAsia"/>
          <w:b/>
          <w:bCs/>
          <w:szCs w:val="21"/>
          <w:highlight w:val="none"/>
          <w:lang w:val="en-US" w:eastAsia="zh-CN"/>
        </w:rPr>
        <w:t>2</w:t>
      </w:r>
      <w:r>
        <w:rPr>
          <w:rFonts w:hint="eastAsia"/>
          <w:b/>
          <w:bCs/>
          <w:szCs w:val="21"/>
          <w:highlight w:val="none"/>
        </w:rPr>
        <w:t xml:space="preserve">  </w:t>
      </w:r>
      <w:r>
        <w:rPr>
          <w:rFonts w:hint="eastAsia"/>
          <w:szCs w:val="21"/>
          <w:highlight w:val="none"/>
        </w:rPr>
        <w:t>预制混凝土构件</w:t>
      </w:r>
      <w:r>
        <w:rPr>
          <w:szCs w:val="21"/>
          <w:highlight w:val="none"/>
        </w:rPr>
        <w:t>生产</w:t>
      </w:r>
      <w:r>
        <w:rPr>
          <w:rFonts w:hint="eastAsia"/>
          <w:szCs w:val="21"/>
          <w:highlight w:val="none"/>
        </w:rPr>
        <w:t>和</w:t>
      </w:r>
      <w:r>
        <w:rPr>
          <w:rFonts w:hint="eastAsia"/>
          <w:highlight w:val="none"/>
        </w:rPr>
        <w:t>运输</w:t>
      </w:r>
      <w:r>
        <w:rPr>
          <w:rFonts w:hint="eastAsia"/>
          <w:szCs w:val="21"/>
          <w:highlight w:val="none"/>
        </w:rPr>
        <w:t>环节应符合国家现行有关环境保护法律法规的要求，减少碳排放和资源消耗，加强</w:t>
      </w:r>
      <w:r>
        <w:rPr>
          <w:rFonts w:hint="eastAsia" w:cs="Courier New"/>
          <w:kern w:val="0"/>
          <w:szCs w:val="21"/>
          <w:highlight w:val="none"/>
        </w:rPr>
        <w:t>建筑</w:t>
      </w:r>
      <w:r>
        <w:rPr>
          <w:rFonts w:hint="eastAsia"/>
          <w:szCs w:val="21"/>
          <w:highlight w:val="none"/>
        </w:rPr>
        <w:t>废弃物资源化利用。</w:t>
      </w:r>
    </w:p>
    <w:p>
      <w:pPr>
        <w:spacing w:line="240" w:lineRule="auto"/>
        <w:rPr>
          <w:rFonts w:hint="eastAsia"/>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b/>
          <w:bCs/>
          <w:szCs w:val="21"/>
          <w:highlight w:val="none"/>
        </w:rPr>
        <w:t>1</w:t>
      </w:r>
      <w:r>
        <w:rPr>
          <w:rFonts w:hint="eastAsia"/>
          <w:b/>
          <w:bCs/>
          <w:szCs w:val="21"/>
          <w:highlight w:val="none"/>
          <w:lang w:val="en-US" w:eastAsia="zh-CN"/>
        </w:rPr>
        <w:t>3</w:t>
      </w:r>
      <w:r>
        <w:rPr>
          <w:rFonts w:hint="eastAsia"/>
          <w:b/>
          <w:bCs/>
          <w:highlight w:val="none"/>
        </w:rPr>
        <w:t xml:space="preserve">  </w:t>
      </w:r>
      <w:r>
        <w:rPr>
          <w:rFonts w:hint="eastAsia" w:cs="Courier New"/>
          <w:kern w:val="0"/>
          <w:szCs w:val="21"/>
          <w:highlight w:val="none"/>
        </w:rPr>
        <w:t>预制混凝土构件生产单位</w:t>
      </w:r>
      <w:r>
        <w:rPr>
          <w:rFonts w:hint="eastAsia"/>
          <w:highlight w:val="none"/>
        </w:rPr>
        <w:t>宜建立智能制造架构体系，并加强对物料仓储、生产排程、生产执行、质量管控和运输配送等过程的数字化管控。</w:t>
      </w:r>
    </w:p>
    <w:p>
      <w:pPr>
        <w:spacing w:line="240" w:lineRule="auto"/>
        <w:rPr>
          <w:rFonts w:hint="eastAsia" w:ascii="Times New Roman" w:hAnsi="Times New Roman" w:eastAsia="宋体" w:cs="Times New Roman"/>
          <w:szCs w:val="21"/>
          <w:highlight w:val="none"/>
        </w:rPr>
      </w:pPr>
      <w:r>
        <w:rPr>
          <w:b/>
          <w:bCs/>
          <w:szCs w:val="21"/>
          <w:highlight w:val="none"/>
        </w:rPr>
        <w:t>3</w:t>
      </w:r>
      <w:r>
        <w:rPr>
          <w:rFonts w:ascii="宋体" w:hAnsi="宋体"/>
          <w:b/>
          <w:bCs/>
          <w:szCs w:val="21"/>
          <w:highlight w:val="none"/>
        </w:rPr>
        <w:t>.</w:t>
      </w:r>
      <w:r>
        <w:rPr>
          <w:rFonts w:hint="eastAsia"/>
          <w:b/>
          <w:bCs/>
          <w:szCs w:val="21"/>
          <w:highlight w:val="none"/>
          <w:lang w:val="en-US" w:eastAsia="zh-CN"/>
        </w:rPr>
        <w:t>0</w:t>
      </w:r>
      <w:r>
        <w:rPr>
          <w:rFonts w:ascii="宋体" w:hAnsi="宋体"/>
          <w:b/>
          <w:bCs/>
          <w:szCs w:val="21"/>
          <w:highlight w:val="none"/>
        </w:rPr>
        <w:t>.</w:t>
      </w:r>
      <w:r>
        <w:rPr>
          <w:rFonts w:hint="eastAsia"/>
          <w:b/>
          <w:bCs/>
          <w:szCs w:val="21"/>
          <w:highlight w:val="none"/>
          <w:lang w:val="en-US" w:eastAsia="zh-CN"/>
        </w:rPr>
        <w:t>14</w:t>
      </w:r>
      <w:r>
        <w:rPr>
          <w:rFonts w:hint="eastAsia"/>
          <w:b/>
          <w:bCs/>
          <w:highlight w:val="none"/>
        </w:rPr>
        <w:t xml:space="preserve">  </w:t>
      </w:r>
      <w:r>
        <w:rPr>
          <w:rFonts w:hint="eastAsia" w:ascii="Times New Roman" w:hAnsi="Times New Roman" w:eastAsia="宋体" w:cs="Times New Roman"/>
          <w:szCs w:val="21"/>
          <w:highlight w:val="none"/>
        </w:rPr>
        <w:t>预制混凝土构件生产单位宜借助建筑信息模型（BIM）实现对构件深化设计、模具设计和生产准备等过程的信息化管理。</w:t>
      </w:r>
    </w:p>
    <w:p>
      <w:pPr>
        <w:widowControl/>
        <w:spacing w:line="240" w:lineRule="auto"/>
        <w:jc w:val="left"/>
        <w:rPr>
          <w:rFonts w:ascii="黑体" w:hAnsi="黑体" w:eastAsia="黑体"/>
          <w:sz w:val="30"/>
          <w:szCs w:val="30"/>
          <w:highlight w:val="none"/>
        </w:rPr>
      </w:pPr>
      <w:r>
        <w:rPr>
          <w:rFonts w:ascii="黑体" w:hAnsi="黑体" w:eastAsia="黑体"/>
          <w:sz w:val="30"/>
          <w:szCs w:val="30"/>
          <w:highlight w:val="none"/>
        </w:rPr>
        <w:br w:type="page"/>
      </w:r>
    </w:p>
    <w:p>
      <w:pPr>
        <w:keepNext/>
        <w:keepLines/>
        <w:spacing w:before="360" w:after="360" w:line="240" w:lineRule="auto"/>
        <w:jc w:val="center"/>
        <w:outlineLvl w:val="0"/>
        <w:rPr>
          <w:rStyle w:val="23"/>
          <w:rFonts w:hint="eastAsia" w:ascii="宋体" w:hAnsi="宋体" w:eastAsia="宋体"/>
          <w:b w:val="0"/>
          <w:bCs w:val="0"/>
          <w:sz w:val="28"/>
          <w:szCs w:val="28"/>
          <w:highlight w:val="none"/>
        </w:rPr>
      </w:pPr>
      <w:bookmarkStart w:id="33" w:name="_Toc154586167"/>
      <w:bookmarkStart w:id="34" w:name="_Toc92398304"/>
      <w:bookmarkStart w:id="35" w:name="_Toc116581546"/>
      <w:bookmarkStart w:id="36" w:name="_Toc153205473"/>
      <w:bookmarkStart w:id="37" w:name="_Toc5483"/>
      <w:bookmarkStart w:id="38" w:name="_Toc143007003"/>
      <w:bookmarkStart w:id="39" w:name="_Toc139377977"/>
      <w:bookmarkStart w:id="40" w:name="_Toc4003"/>
      <w:bookmarkStart w:id="41" w:name="_Toc114470651"/>
      <w:bookmarkStart w:id="42" w:name="_Toc116895358"/>
      <w:bookmarkStart w:id="43" w:name="_Toc19619"/>
      <w:bookmarkStart w:id="44" w:name="_Toc92398309"/>
      <w:bookmarkStart w:id="45" w:name="_Toc117169851"/>
      <w:bookmarkStart w:id="46" w:name="_Toc116895363"/>
      <w:bookmarkStart w:id="47" w:name="_Toc116581551"/>
      <w:bookmarkStart w:id="48" w:name="_Toc97737193"/>
      <w:bookmarkStart w:id="49" w:name="_Toc114470656"/>
      <w:r>
        <w:rPr>
          <w:rStyle w:val="23"/>
          <w:rFonts w:hint="eastAsia" w:ascii="Times New Roman" w:hAnsi="Times New Roman" w:cs="Times New Roman"/>
          <w:sz w:val="28"/>
          <w:szCs w:val="28"/>
          <w:highlight w:val="none"/>
        </w:rPr>
        <w:t>4</w:t>
      </w:r>
      <w:r>
        <w:rPr>
          <w:rStyle w:val="23"/>
          <w:rFonts w:hint="eastAsia" w:ascii="宋体" w:hAnsi="宋体" w:eastAsia="宋体"/>
          <w:b w:val="0"/>
          <w:bCs w:val="0"/>
          <w:sz w:val="28"/>
          <w:szCs w:val="28"/>
          <w:highlight w:val="none"/>
        </w:rPr>
        <w:t xml:space="preserve"> </w:t>
      </w:r>
      <w:r>
        <w:rPr>
          <w:rStyle w:val="23"/>
          <w:rFonts w:hint="eastAsia" w:ascii="宋体" w:hAnsi="宋体"/>
          <w:b w:val="0"/>
          <w:bCs w:val="0"/>
          <w:sz w:val="28"/>
          <w:szCs w:val="28"/>
          <w:highlight w:val="none"/>
          <w:lang w:val="en-US" w:eastAsia="zh-CN"/>
        </w:rPr>
        <w:t xml:space="preserve"> </w:t>
      </w:r>
      <w:r>
        <w:rPr>
          <w:rStyle w:val="23"/>
          <w:rFonts w:hint="eastAsia" w:ascii="宋体" w:hAnsi="宋体" w:eastAsia="宋体"/>
          <w:b w:val="0"/>
          <w:bCs w:val="0"/>
          <w:sz w:val="28"/>
          <w:szCs w:val="28"/>
          <w:highlight w:val="none"/>
        </w:rPr>
        <w:t>材</w:t>
      </w:r>
      <w:r>
        <w:rPr>
          <w:rStyle w:val="23"/>
          <w:rFonts w:hint="eastAsia" w:ascii="宋体" w:hAnsi="宋体"/>
          <w:b w:val="0"/>
          <w:bCs w:val="0"/>
          <w:sz w:val="28"/>
          <w:szCs w:val="28"/>
          <w:highlight w:val="none"/>
          <w:lang w:val="en-US" w:eastAsia="zh-CN"/>
        </w:rPr>
        <w:t xml:space="preserve">    </w:t>
      </w:r>
      <w:r>
        <w:rPr>
          <w:rStyle w:val="23"/>
          <w:rFonts w:hint="eastAsia" w:ascii="宋体" w:hAnsi="宋体" w:eastAsia="宋体"/>
          <w:b w:val="0"/>
          <w:bCs w:val="0"/>
          <w:sz w:val="28"/>
          <w:szCs w:val="28"/>
          <w:highlight w:val="none"/>
        </w:rPr>
        <w:t>料</w:t>
      </w:r>
      <w:bookmarkEnd w:id="33"/>
      <w:bookmarkEnd w:id="34"/>
      <w:bookmarkEnd w:id="35"/>
      <w:bookmarkEnd w:id="36"/>
      <w:bookmarkEnd w:id="37"/>
      <w:bookmarkEnd w:id="38"/>
      <w:bookmarkEnd w:id="39"/>
      <w:bookmarkEnd w:id="40"/>
      <w:bookmarkEnd w:id="41"/>
      <w:bookmarkEnd w:id="42"/>
      <w:bookmarkEnd w:id="43"/>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cs="黑体"/>
          <w:b w:val="0"/>
          <w:bCs/>
          <w:kern w:val="2"/>
          <w:sz w:val="21"/>
          <w:szCs w:val="21"/>
          <w:highlight w:val="none"/>
          <w:lang w:val="en-US" w:eastAsia="zh-CN" w:bidi="ar-SA"/>
        </w:rPr>
      </w:pPr>
      <w:bookmarkStart w:id="50" w:name="_Toc93999728"/>
      <w:bookmarkStart w:id="51" w:name="_Toc93998967"/>
      <w:bookmarkStart w:id="52" w:name="_Toc24481"/>
      <w:bookmarkStart w:id="53" w:name="_Toc19696"/>
      <w:bookmarkStart w:id="54" w:name="_Toc1985"/>
      <w:r>
        <w:rPr>
          <w:rFonts w:hint="eastAsia" w:ascii="Times New Roman" w:hAnsi="Times New Roman"/>
          <w:sz w:val="21"/>
          <w:szCs w:val="21"/>
          <w:highlight w:val="none"/>
          <w:lang w:val="en-US" w:eastAsia="zh-CN"/>
        </w:rPr>
        <w:t>4</w:t>
      </w:r>
      <w:r>
        <w:rPr>
          <w:rFonts w:hint="eastAsia" w:ascii="宋体" w:hAnsi="宋体" w:eastAsia="宋体"/>
          <w:sz w:val="21"/>
          <w:szCs w:val="21"/>
          <w:highlight w:val="none"/>
        </w:rPr>
        <w:t>.</w:t>
      </w:r>
      <w:r>
        <w:rPr>
          <w:rFonts w:ascii="Times New Roman" w:hAnsi="Times New Roman"/>
          <w:sz w:val="21"/>
          <w:szCs w:val="21"/>
          <w:highlight w:val="none"/>
        </w:rPr>
        <w:t>1</w:t>
      </w:r>
      <w:r>
        <w:rPr>
          <w:rFonts w:hint="eastAsia" w:ascii="黑体" w:hAnsi="黑体" w:eastAsia="黑体" w:cs="黑体"/>
          <w:b w:val="0"/>
          <w:bCs/>
          <w:kern w:val="2"/>
          <w:sz w:val="21"/>
          <w:szCs w:val="21"/>
          <w:highlight w:val="none"/>
          <w:lang w:val="en-US" w:eastAsia="zh-CN" w:bidi="ar-SA"/>
        </w:rPr>
        <w:t xml:space="preserve">  </w:t>
      </w:r>
      <w:bookmarkEnd w:id="50"/>
      <w:bookmarkEnd w:id="51"/>
      <w:r>
        <w:rPr>
          <w:rFonts w:hint="eastAsia" w:ascii="黑体" w:hAnsi="黑体" w:eastAsia="黑体" w:cs="黑体"/>
          <w:b w:val="0"/>
          <w:bCs/>
          <w:kern w:val="2"/>
          <w:sz w:val="21"/>
          <w:szCs w:val="21"/>
          <w:highlight w:val="none"/>
          <w:lang w:val="en-US" w:eastAsia="zh-CN" w:bidi="ar-SA"/>
        </w:rPr>
        <w:t>一 般 规 定</w:t>
      </w:r>
      <w:bookmarkEnd w:id="52"/>
      <w:bookmarkEnd w:id="53"/>
      <w:bookmarkEnd w:id="54"/>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1</w:t>
      </w:r>
      <w:r>
        <w:rPr>
          <w:rFonts w:ascii="宋体" w:hAnsi="宋体" w:eastAsia="宋体" w:cstheme="minorBidi"/>
          <w:b/>
          <w:bCs/>
          <w:kern w:val="2"/>
          <w:sz w:val="21"/>
          <w:szCs w:val="21"/>
          <w:highlight w:val="none"/>
          <w:lang w:val="en-US" w:eastAsia="zh-CN" w:bidi="ar-SA"/>
        </w:rPr>
        <w:t>.</w:t>
      </w:r>
      <w:r>
        <w:rPr>
          <w:b/>
          <w:bCs/>
          <w:szCs w:val="21"/>
          <w:highlight w:val="none"/>
        </w:rPr>
        <w:t>1</w:t>
      </w:r>
      <w:r>
        <w:rPr>
          <w:rFonts w:hint="eastAsia"/>
          <w:b/>
          <w:bCs/>
          <w:highlight w:val="none"/>
        </w:rPr>
        <w:t xml:space="preserve">  </w:t>
      </w:r>
      <w:r>
        <w:rPr>
          <w:rFonts w:hint="eastAsia"/>
          <w:highlight w:val="none"/>
        </w:rPr>
        <w:t>材料及配件进厂应按深圳市《</w:t>
      </w:r>
      <w:bookmarkStart w:id="55" w:name="OLE_LINK3"/>
      <w:r>
        <w:rPr>
          <w:rFonts w:hint="eastAsia"/>
          <w:highlight w:val="none"/>
        </w:rPr>
        <w:t>预制混凝土构件质量</w:t>
      </w:r>
      <w:r>
        <w:rPr>
          <w:rFonts w:hint="eastAsia"/>
          <w:highlight w:val="none"/>
          <w:lang w:val="en-US" w:eastAsia="zh-CN"/>
        </w:rPr>
        <w:t>检验与验收标准</w:t>
      </w:r>
      <w:bookmarkEnd w:id="55"/>
      <w:r>
        <w:rPr>
          <w:rFonts w:hint="eastAsia"/>
          <w:highlight w:val="none"/>
        </w:rPr>
        <w:t>》的规定进行进厂复检，通用材料可不分项目，统一按数量划分检验批，并应符合国家现行标准的有关规定。</w:t>
      </w:r>
    </w:p>
    <w:p>
      <w:pPr>
        <w:spacing w:line="240" w:lineRule="auto"/>
        <w:rPr>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1</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2</w:t>
      </w:r>
      <w:r>
        <w:rPr>
          <w:rFonts w:hint="eastAsia"/>
          <w:b/>
          <w:bCs/>
          <w:highlight w:val="none"/>
        </w:rPr>
        <w:t xml:space="preserve">  </w:t>
      </w:r>
      <w:r>
        <w:rPr>
          <w:rFonts w:hint="eastAsia"/>
          <w:highlight w:val="none"/>
        </w:rPr>
        <w:t>材料及配件检测报告在构件生产企业存档，原材报告复印件加盖构件生产企业质检章后对该批次原材所用的全部工程适用。</w:t>
      </w:r>
    </w:p>
    <w:p>
      <w:pPr>
        <w:spacing w:line="240" w:lineRule="auto"/>
        <w:rPr>
          <w:rFonts w:cs="Times New Roman"/>
          <w:sz w:val="21"/>
          <w:szCs w:val="24"/>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ascii="Times New Roman" w:hAnsi="Times New Roman" w:eastAsia="宋体" w:cs="Times New Roman"/>
          <w:b/>
          <w:bCs/>
          <w:kern w:val="2"/>
          <w:sz w:val="21"/>
          <w:szCs w:val="21"/>
          <w:highlight w:val="none"/>
          <w:lang w:val="en-US" w:eastAsia="zh-CN" w:bidi="ar-SA"/>
        </w:rPr>
        <w:t>1</w:t>
      </w:r>
      <w:r>
        <w:rPr>
          <w:rFonts w:ascii="宋体" w:hAnsi="宋体"/>
          <w:b/>
          <w:bCs/>
          <w:sz w:val="21"/>
          <w:szCs w:val="21"/>
          <w:highlight w:val="none"/>
        </w:rPr>
        <w:t>.</w:t>
      </w:r>
      <w:r>
        <w:rPr>
          <w:rFonts w:hint="eastAsia" w:ascii="Times New Roman" w:hAnsi="Times New Roman" w:eastAsia="宋体" w:cs="Times New Roman"/>
          <w:b/>
          <w:bCs/>
          <w:kern w:val="2"/>
          <w:sz w:val="21"/>
          <w:szCs w:val="21"/>
          <w:highlight w:val="none"/>
          <w:lang w:val="en-US" w:eastAsia="zh-CN" w:bidi="ar-SA"/>
        </w:rPr>
        <w:t>3</w:t>
      </w:r>
      <w:r>
        <w:rPr>
          <w:rFonts w:hint="eastAsia" w:cs="Times New Roman"/>
          <w:b/>
          <w:bCs/>
          <w:sz w:val="21"/>
          <w:szCs w:val="24"/>
          <w:highlight w:val="none"/>
        </w:rPr>
        <w:t xml:space="preserve">  </w:t>
      </w:r>
      <w:r>
        <w:rPr>
          <w:rFonts w:hint="eastAsia" w:cs="Times New Roman"/>
          <w:sz w:val="21"/>
          <w:szCs w:val="24"/>
          <w:highlight w:val="none"/>
        </w:rPr>
        <w:t>材料及配件应按生产厂家、品种、规格分别存放，并应有防护措施。</w:t>
      </w:r>
    </w:p>
    <w:p>
      <w:pPr>
        <w:spacing w:line="240" w:lineRule="auto"/>
        <w:rPr>
          <w:rFonts w:cs="Times New Roman"/>
          <w:sz w:val="21"/>
          <w:szCs w:val="24"/>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ascii="Times New Roman" w:hAnsi="Times New Roman" w:eastAsia="宋体" w:cs="Times New Roman"/>
          <w:b/>
          <w:bCs/>
          <w:kern w:val="2"/>
          <w:sz w:val="21"/>
          <w:szCs w:val="21"/>
          <w:highlight w:val="none"/>
          <w:lang w:val="en-US" w:eastAsia="zh-CN" w:bidi="ar-SA"/>
        </w:rPr>
        <w:t>1</w:t>
      </w:r>
      <w:r>
        <w:rPr>
          <w:rFonts w:ascii="宋体" w:hAnsi="宋体"/>
          <w:b/>
          <w:bCs/>
          <w:sz w:val="21"/>
          <w:szCs w:val="21"/>
          <w:highlight w:val="none"/>
        </w:rPr>
        <w:t>.</w:t>
      </w:r>
      <w:r>
        <w:rPr>
          <w:rFonts w:hint="eastAsia" w:ascii="Times New Roman" w:hAnsi="Times New Roman" w:eastAsia="宋体" w:cs="Times New Roman"/>
          <w:b/>
          <w:bCs/>
          <w:kern w:val="2"/>
          <w:sz w:val="21"/>
          <w:szCs w:val="21"/>
          <w:highlight w:val="none"/>
          <w:lang w:val="en-US" w:eastAsia="zh-CN" w:bidi="ar-SA"/>
        </w:rPr>
        <w:t>4</w:t>
      </w:r>
      <w:r>
        <w:rPr>
          <w:rFonts w:hint="eastAsia" w:cs="Times New Roman"/>
          <w:b/>
          <w:bCs/>
          <w:sz w:val="21"/>
          <w:szCs w:val="24"/>
          <w:highlight w:val="none"/>
        </w:rPr>
        <w:t xml:space="preserve">  </w:t>
      </w:r>
      <w:r>
        <w:rPr>
          <w:rFonts w:hint="eastAsia" w:cs="Times New Roman"/>
          <w:sz w:val="21"/>
          <w:szCs w:val="24"/>
          <w:highlight w:val="none"/>
        </w:rPr>
        <w:t>材料及配件应</w:t>
      </w:r>
      <w:r>
        <w:rPr>
          <w:rFonts w:hint="eastAsia"/>
          <w:highlight w:val="none"/>
        </w:rPr>
        <w:t>进行</w:t>
      </w:r>
      <w:r>
        <w:rPr>
          <w:rFonts w:hint="eastAsia" w:cs="Times New Roman"/>
          <w:sz w:val="21"/>
          <w:szCs w:val="24"/>
          <w:highlight w:val="none"/>
        </w:rPr>
        <w:t>标识，注明其种类、规格、产地、检测和检查状态。</w:t>
      </w:r>
    </w:p>
    <w:p>
      <w:pPr>
        <w:spacing w:line="240" w:lineRule="auto"/>
        <w:rPr>
          <w:highlight w:val="none"/>
        </w:rPr>
      </w:pPr>
      <w:r>
        <w:rPr>
          <w:rFonts w:hint="eastAsia"/>
          <w:b/>
          <w:bCs/>
          <w:szCs w:val="21"/>
          <w:highlight w:val="none"/>
          <w:lang w:val="en-US" w:eastAsia="zh-CN"/>
        </w:rPr>
        <w:t>4</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1</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5</w:t>
      </w:r>
      <w:r>
        <w:rPr>
          <w:rFonts w:hint="eastAsia"/>
          <w:b/>
          <w:bCs/>
          <w:highlight w:val="none"/>
        </w:rPr>
        <w:t xml:space="preserve">  </w:t>
      </w:r>
      <w:r>
        <w:rPr>
          <w:rFonts w:hint="eastAsia"/>
          <w:highlight w:val="none"/>
        </w:rPr>
        <w:t>材料及配件的技术指标除</w:t>
      </w:r>
      <w:r>
        <w:rPr>
          <w:highlight w:val="none"/>
        </w:rPr>
        <w:t>应符合本标准</w:t>
      </w:r>
      <w:r>
        <w:rPr>
          <w:rFonts w:hint="eastAsia"/>
          <w:highlight w:val="none"/>
        </w:rPr>
        <w:t>外</w:t>
      </w:r>
      <w:r>
        <w:rPr>
          <w:highlight w:val="none"/>
        </w:rPr>
        <w:t>，</w:t>
      </w:r>
      <w:r>
        <w:rPr>
          <w:rFonts w:hint="eastAsia"/>
          <w:highlight w:val="none"/>
        </w:rPr>
        <w:t>尚应</w:t>
      </w:r>
      <w:r>
        <w:rPr>
          <w:highlight w:val="none"/>
        </w:rPr>
        <w:t>符合国家现行标准的</w:t>
      </w:r>
      <w:r>
        <w:rPr>
          <w:rFonts w:hint="eastAsia"/>
          <w:highlight w:val="none"/>
        </w:rPr>
        <w:t>有</w:t>
      </w:r>
      <w:r>
        <w:rPr>
          <w:highlight w:val="none"/>
        </w:rPr>
        <w:t>关规定</w:t>
      </w:r>
      <w:r>
        <w:rPr>
          <w:rFonts w:hint="eastAsia"/>
          <w:highlight w:val="none"/>
        </w:rPr>
        <w:t>，具</w:t>
      </w:r>
      <w:r>
        <w:rPr>
          <w:highlight w:val="none"/>
        </w:rPr>
        <w:t>有合格证和出厂检验报告</w:t>
      </w:r>
      <w:r>
        <w:rPr>
          <w:rFonts w:hint="eastAsia"/>
          <w:highlight w:val="none"/>
        </w:rPr>
        <w:t>。</w:t>
      </w:r>
      <w:bookmarkStart w:id="56" w:name="_Toc116895360"/>
      <w:bookmarkStart w:id="57" w:name="_Toc92398306"/>
      <w:bookmarkStart w:id="58" w:name="_Toc139377979"/>
      <w:bookmarkStart w:id="59" w:name="_Toc114470653"/>
      <w:bookmarkStart w:id="60" w:name="_Toc117169848"/>
      <w:bookmarkStart w:id="61" w:name="_Toc143007005"/>
      <w:bookmarkStart w:id="62" w:name="_Toc116581548"/>
      <w:bookmarkStart w:id="63" w:name="_Toc153205475"/>
    </w:p>
    <w:bookmarkEnd w:id="56"/>
    <w:bookmarkEnd w:id="57"/>
    <w:bookmarkEnd w:id="58"/>
    <w:bookmarkEnd w:id="59"/>
    <w:bookmarkEnd w:id="60"/>
    <w:bookmarkEnd w:id="61"/>
    <w:bookmarkEnd w:id="62"/>
    <w:bookmarkEnd w:id="63"/>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default" w:ascii="黑体" w:hAnsi="黑体" w:eastAsia="黑体" w:cs="黑体"/>
          <w:b w:val="0"/>
          <w:bCs/>
          <w:kern w:val="2"/>
          <w:sz w:val="21"/>
          <w:szCs w:val="21"/>
          <w:highlight w:val="none"/>
          <w:lang w:val="en-US" w:eastAsia="zh-CN" w:bidi="ar-SA"/>
        </w:rPr>
      </w:pPr>
      <w:bookmarkStart w:id="64" w:name="_Toc13339"/>
      <w:bookmarkStart w:id="65" w:name="_Toc13600"/>
      <w:bookmarkStart w:id="66" w:name="_Toc22857"/>
      <w:r>
        <w:rPr>
          <w:rFonts w:hint="eastAsia" w:ascii="Times New Roman" w:hAnsi="Times New Roman"/>
          <w:sz w:val="21"/>
          <w:szCs w:val="21"/>
          <w:highlight w:val="none"/>
          <w:lang w:val="en-US" w:eastAsia="zh-CN"/>
        </w:rPr>
        <w:t>4</w:t>
      </w:r>
      <w:r>
        <w:rPr>
          <w:rFonts w:hint="eastAsia" w:ascii="宋体" w:hAnsi="宋体" w:eastAsia="宋体"/>
          <w:sz w:val="21"/>
          <w:szCs w:val="21"/>
          <w:highlight w:val="none"/>
        </w:rPr>
        <w:t>.</w:t>
      </w:r>
      <w:r>
        <w:rPr>
          <w:rFonts w:hint="eastAsia" w:ascii="Times New Roman" w:hAnsi="Times New Roman" w:eastAsia="宋体"/>
          <w:sz w:val="21"/>
          <w:szCs w:val="21"/>
          <w:highlight w:val="none"/>
          <w:lang w:val="en-US" w:eastAsia="zh-CN"/>
        </w:rPr>
        <w:t>2</w:t>
      </w:r>
      <w:r>
        <w:rPr>
          <w:rFonts w:hint="eastAsia" w:ascii="黑体" w:hAnsi="黑体" w:eastAsia="黑体" w:cs="黑体"/>
          <w:b w:val="0"/>
          <w:bCs/>
          <w:kern w:val="2"/>
          <w:sz w:val="21"/>
          <w:szCs w:val="21"/>
          <w:highlight w:val="none"/>
          <w:lang w:val="en-US" w:eastAsia="zh-CN" w:bidi="ar-SA"/>
        </w:rPr>
        <w:t xml:space="preserve">  钢    筋</w:t>
      </w:r>
      <w:bookmarkEnd w:id="64"/>
      <w:bookmarkEnd w:id="65"/>
      <w:bookmarkEnd w:id="66"/>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2</w:t>
      </w:r>
      <w:r>
        <w:rPr>
          <w:rFonts w:ascii="宋体" w:hAnsi="宋体" w:eastAsia="宋体" w:cstheme="minorBidi"/>
          <w:b/>
          <w:bCs/>
          <w:kern w:val="2"/>
          <w:sz w:val="21"/>
          <w:szCs w:val="21"/>
          <w:highlight w:val="none"/>
          <w:lang w:val="en-US" w:eastAsia="zh-CN" w:bidi="ar-SA"/>
        </w:rPr>
        <w:t>.</w:t>
      </w:r>
      <w:r>
        <w:rPr>
          <w:b/>
          <w:bCs/>
          <w:szCs w:val="21"/>
          <w:highlight w:val="none"/>
        </w:rPr>
        <w:t>1</w:t>
      </w:r>
      <w:r>
        <w:rPr>
          <w:rFonts w:hint="eastAsia"/>
          <w:b/>
          <w:bCs/>
          <w:kern w:val="0"/>
          <w:szCs w:val="21"/>
          <w:highlight w:val="none"/>
          <w:lang w:bidi="ar"/>
        </w:rPr>
        <w:t xml:space="preserve">  </w:t>
      </w:r>
      <w:r>
        <w:rPr>
          <w:rFonts w:hint="eastAsia"/>
          <w:highlight w:val="none"/>
        </w:rPr>
        <w:t>钢筋性能应符合现行国家标准《钢筋混凝土用钢-第1部分：热轧光圆钢筋》GB</w:t>
      </w:r>
      <w:r>
        <w:rPr>
          <w:rFonts w:hint="eastAsia"/>
          <w:highlight w:val="none"/>
          <w:lang w:val="en-US" w:eastAsia="zh-CN"/>
        </w:rPr>
        <w:t xml:space="preserve"> </w:t>
      </w:r>
      <w:r>
        <w:rPr>
          <w:rFonts w:hint="eastAsia"/>
          <w:highlight w:val="none"/>
        </w:rPr>
        <w:t>1499.1</w:t>
      </w:r>
      <w:r>
        <w:rPr>
          <w:rFonts w:hint="eastAsia" w:eastAsia="Tahoma" w:cs="Tahoma"/>
          <w:szCs w:val="21"/>
          <w:highlight w:val="none"/>
          <w:lang w:bidi="ar"/>
        </w:rPr>
        <w:t>、</w:t>
      </w:r>
      <w:r>
        <w:rPr>
          <w:rFonts w:hint="eastAsia"/>
          <w:highlight w:val="none"/>
        </w:rPr>
        <w:t>《钢筋混凝土用钢第2部分：热轧带肋钢筋》GB</w:t>
      </w:r>
      <w:r>
        <w:rPr>
          <w:rFonts w:hint="eastAsia"/>
          <w:highlight w:val="none"/>
          <w:lang w:val="en-US" w:eastAsia="zh-CN"/>
        </w:rPr>
        <w:t xml:space="preserve"> </w:t>
      </w:r>
      <w:r>
        <w:rPr>
          <w:rFonts w:hint="eastAsia"/>
          <w:highlight w:val="none"/>
        </w:rPr>
        <w:t>1499.2的有关规定。</w:t>
      </w:r>
    </w:p>
    <w:p>
      <w:pPr>
        <w:spacing w:line="240" w:lineRule="auto"/>
        <w:rPr>
          <w:rFonts w:hint="default" w:eastAsia="宋体"/>
          <w:highlight w:val="none"/>
          <w:lang w:val="en-US" w:eastAsia="zh-CN"/>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2</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2</w:t>
      </w:r>
      <w:r>
        <w:rPr>
          <w:rFonts w:hint="eastAsia"/>
          <w:b/>
          <w:bCs/>
          <w:kern w:val="0"/>
          <w:szCs w:val="21"/>
          <w:highlight w:val="none"/>
          <w:lang w:bidi="ar"/>
        </w:rPr>
        <w:t xml:space="preserve">  </w:t>
      </w:r>
      <w:r>
        <w:rPr>
          <w:rFonts w:hint="eastAsia"/>
          <w:highlight w:val="none"/>
        </w:rPr>
        <w:t>对有抗震设防要求的结构构件，钢筋的选用应符合现行国家标准《混凝土结构设计规范》GB</w:t>
      </w:r>
      <w:r>
        <w:rPr>
          <w:rFonts w:hint="eastAsia"/>
          <w:highlight w:val="none"/>
          <w:lang w:val="en-US" w:eastAsia="zh-CN"/>
        </w:rPr>
        <w:t xml:space="preserve"> </w:t>
      </w:r>
      <w:r>
        <w:rPr>
          <w:rFonts w:hint="eastAsia"/>
          <w:highlight w:val="none"/>
        </w:rPr>
        <w:t>50010的规定。</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2</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3</w:t>
      </w:r>
      <w:r>
        <w:rPr>
          <w:rFonts w:hint="eastAsia"/>
          <w:b/>
          <w:bCs/>
          <w:kern w:val="0"/>
          <w:szCs w:val="21"/>
          <w:highlight w:val="none"/>
          <w:lang w:bidi="ar"/>
        </w:rPr>
        <w:t xml:space="preserve">  </w:t>
      </w:r>
      <w:r>
        <w:rPr>
          <w:rFonts w:hint="eastAsia"/>
          <w:highlight w:val="none"/>
        </w:rPr>
        <w:t>钢筋焊接网片应符合现行行业标准《钢筋焊接网混凝土结构技术规程》JGJ 114的规定。</w:t>
      </w:r>
    </w:p>
    <w:p>
      <w:pPr>
        <w:tabs>
          <w:tab w:val="left" w:pos="5544"/>
        </w:tabs>
        <w:spacing w:line="240" w:lineRule="auto"/>
        <w:ind w:firstLine="440" w:firstLineChars="200"/>
        <w:rPr>
          <w:rFonts w:hint="eastAsia"/>
          <w:highlight w:val="none"/>
        </w:rPr>
      </w:pPr>
      <w:r>
        <w:rPr>
          <w:b/>
          <w:bCs/>
          <w:szCs w:val="21"/>
          <w:highlight w:val="none"/>
        </w:rPr>
        <w:t>1</w:t>
      </w:r>
      <w:r>
        <w:rPr>
          <w:rFonts w:hint="eastAsia"/>
          <w:b/>
          <w:bCs/>
          <w:szCs w:val="21"/>
          <w:highlight w:val="none"/>
          <w:lang w:val="en-US" w:eastAsia="zh-CN"/>
        </w:rPr>
        <w:t xml:space="preserve">  </w:t>
      </w:r>
      <w:r>
        <w:rPr>
          <w:rFonts w:hint="eastAsia"/>
          <w:highlight w:val="none"/>
        </w:rPr>
        <w:t>焊点开焊数量不应超过整张网片交叉点总数的1%，任一根钢筋上开焊点不得连续且不应超过该支钢筋上交叉点总数的一半。钢筋焊接网最外边钢筋上的交叉点不应开焊；</w:t>
      </w:r>
    </w:p>
    <w:p>
      <w:pPr>
        <w:tabs>
          <w:tab w:val="left" w:pos="5544"/>
        </w:tabs>
        <w:spacing w:line="240" w:lineRule="auto"/>
        <w:ind w:firstLine="440" w:firstLineChars="200"/>
        <w:rPr>
          <w:rFonts w:hint="eastAsia"/>
          <w:highlight w:val="none"/>
        </w:rPr>
      </w:pPr>
      <w:r>
        <w:rPr>
          <w:b/>
          <w:bCs/>
          <w:szCs w:val="21"/>
          <w:highlight w:val="none"/>
        </w:rPr>
        <w:t>2</w:t>
      </w:r>
      <w:r>
        <w:rPr>
          <w:rFonts w:hint="eastAsia"/>
          <w:b/>
          <w:bCs/>
          <w:szCs w:val="21"/>
          <w:highlight w:val="none"/>
          <w:lang w:val="en-US" w:eastAsia="zh-CN"/>
        </w:rPr>
        <w:t xml:space="preserve"> </w:t>
      </w:r>
      <w:r>
        <w:rPr>
          <w:b/>
          <w:bCs/>
          <w:szCs w:val="21"/>
          <w:highlight w:val="none"/>
        </w:rPr>
        <w:t xml:space="preserve"> </w:t>
      </w:r>
      <w:r>
        <w:rPr>
          <w:rFonts w:hint="eastAsia"/>
          <w:highlight w:val="none"/>
        </w:rPr>
        <w:t>网片长度和宽度的允许偏差取±10mm，间距的允许偏差取±10mm；</w:t>
      </w:r>
    </w:p>
    <w:p>
      <w:pPr>
        <w:tabs>
          <w:tab w:val="left" w:pos="5544"/>
        </w:tabs>
        <w:spacing w:line="240" w:lineRule="auto"/>
        <w:ind w:firstLine="440" w:firstLineChars="200"/>
        <w:rPr>
          <w:rFonts w:ascii="宋体" w:hAnsi="宋体" w:cs="宋体"/>
          <w:szCs w:val="21"/>
          <w:highlight w:val="none"/>
        </w:rPr>
      </w:pPr>
      <w:r>
        <w:rPr>
          <w:b/>
          <w:bCs/>
          <w:szCs w:val="21"/>
          <w:highlight w:val="none"/>
        </w:rPr>
        <w:t xml:space="preserve">3 </w:t>
      </w:r>
      <w:r>
        <w:rPr>
          <w:rFonts w:hint="eastAsia"/>
          <w:b/>
          <w:bCs/>
          <w:szCs w:val="21"/>
          <w:highlight w:val="none"/>
          <w:lang w:val="en-US" w:eastAsia="zh-CN"/>
        </w:rPr>
        <w:t xml:space="preserve"> </w:t>
      </w:r>
      <w:r>
        <w:rPr>
          <w:rFonts w:hint="eastAsia"/>
          <w:highlight w:val="none"/>
        </w:rPr>
        <w:t>钢筋焊接网表面不应有影响使用的缺陷，钢筋表面浮锈和因调直造成的表面轻微损伤等，不影响性能的可以使用。</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2</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4</w:t>
      </w:r>
      <w:r>
        <w:rPr>
          <w:rFonts w:hint="eastAsia"/>
          <w:b/>
          <w:bCs/>
          <w:kern w:val="0"/>
          <w:szCs w:val="21"/>
          <w:highlight w:val="none"/>
          <w:lang w:bidi="ar"/>
        </w:rPr>
        <w:t xml:space="preserve">  </w:t>
      </w:r>
      <w:r>
        <w:rPr>
          <w:rFonts w:hint="eastAsia"/>
          <w:highlight w:val="none"/>
        </w:rPr>
        <w:t>钢筋桁架《钢筋混凝土用钢筋桁架》YB/T 4262的规定。</w:t>
      </w:r>
    </w:p>
    <w:p>
      <w:pPr>
        <w:tabs>
          <w:tab w:val="left" w:pos="5544"/>
        </w:tabs>
        <w:spacing w:line="240" w:lineRule="auto"/>
        <w:ind w:firstLine="440" w:firstLineChars="200"/>
        <w:rPr>
          <w:rFonts w:hint="eastAsia"/>
          <w:highlight w:val="none"/>
        </w:rPr>
      </w:pPr>
      <w:r>
        <w:rPr>
          <w:rFonts w:hint="eastAsia"/>
          <w:b/>
          <w:bCs/>
          <w:szCs w:val="21"/>
          <w:highlight w:val="none"/>
        </w:rPr>
        <w:t>1</w:t>
      </w:r>
      <w:r>
        <w:rPr>
          <w:rFonts w:hint="eastAsia"/>
          <w:highlight w:val="none"/>
          <w:lang w:val="en-US" w:eastAsia="zh-CN"/>
        </w:rPr>
        <w:t xml:space="preserve">  </w:t>
      </w:r>
      <w:r>
        <w:rPr>
          <w:rFonts w:hint="eastAsia"/>
          <w:highlight w:val="none"/>
        </w:rPr>
        <w:t>上弦筋不应有开焊，下弦筋焊点开焊不应连续且不应超过下弦筋焊点总数的4%；</w:t>
      </w:r>
    </w:p>
    <w:p>
      <w:pPr>
        <w:spacing w:line="240" w:lineRule="auto"/>
        <w:ind w:firstLine="440" w:firstLineChars="200"/>
        <w:rPr>
          <w:rFonts w:hint="eastAsia"/>
          <w:highlight w:val="none"/>
        </w:rPr>
      </w:pPr>
      <w:r>
        <w:rPr>
          <w:rFonts w:hint="eastAsia"/>
          <w:b/>
          <w:bCs/>
          <w:szCs w:val="21"/>
          <w:highlight w:val="none"/>
        </w:rPr>
        <w:t>2</w:t>
      </w:r>
      <w:r>
        <w:rPr>
          <w:rFonts w:hint="eastAsia"/>
          <w:highlight w:val="none"/>
        </w:rPr>
        <w:t xml:space="preserve"> </w:t>
      </w:r>
      <w:r>
        <w:rPr>
          <w:rFonts w:hint="eastAsia"/>
          <w:highlight w:val="none"/>
          <w:lang w:val="en-US" w:eastAsia="zh-CN"/>
        </w:rPr>
        <w:t xml:space="preserve"> </w:t>
      </w:r>
      <w:r>
        <w:rPr>
          <w:rFonts w:hint="eastAsia"/>
          <w:highlight w:val="none"/>
        </w:rPr>
        <w:t>焊点处熔化金属应均匀，焊点应无裂纹、多孔性缺陷和明显的烧伤现象；</w:t>
      </w:r>
    </w:p>
    <w:p>
      <w:pPr>
        <w:spacing w:line="240" w:lineRule="auto"/>
        <w:ind w:firstLine="440" w:firstLineChars="200"/>
        <w:rPr>
          <w:rFonts w:hint="eastAsia"/>
          <w:highlight w:val="none"/>
        </w:rPr>
      </w:pPr>
      <w:r>
        <w:rPr>
          <w:rFonts w:hint="eastAsia"/>
          <w:b/>
          <w:bCs/>
          <w:szCs w:val="21"/>
          <w:highlight w:val="none"/>
        </w:rPr>
        <w:t>3</w:t>
      </w:r>
      <w:r>
        <w:rPr>
          <w:rFonts w:hint="eastAsia"/>
          <w:highlight w:val="none"/>
        </w:rPr>
        <w:t xml:space="preserve"> </w:t>
      </w:r>
      <w:r>
        <w:rPr>
          <w:rFonts w:hint="eastAsia"/>
          <w:highlight w:val="none"/>
          <w:lang w:val="en-US" w:eastAsia="zh-CN"/>
        </w:rPr>
        <w:t xml:space="preserve"> </w:t>
      </w:r>
      <w:r>
        <w:rPr>
          <w:rFonts w:hint="eastAsia"/>
          <w:highlight w:val="none"/>
        </w:rPr>
        <w:t>钢筋表面浮锈和因矫直造成的钢筋表面轻微损伤，不影响性能的可予使用。</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2</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5</w:t>
      </w:r>
      <w:r>
        <w:rPr>
          <w:rFonts w:hint="eastAsia"/>
          <w:b/>
          <w:szCs w:val="36"/>
          <w:highlight w:val="none"/>
          <w:lang w:bidi="ar"/>
        </w:rPr>
        <w:t xml:space="preserve">  </w:t>
      </w:r>
      <w:r>
        <w:rPr>
          <w:rFonts w:hint="eastAsia"/>
          <w:highlight w:val="none"/>
        </w:rPr>
        <w:t>钢管桁架应符合国家现行标准《预应力混凝土钢管桁架叠合板技术规程》T/CECS-722的有关规定。</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2</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6</w:t>
      </w:r>
      <w:r>
        <w:rPr>
          <w:rFonts w:hint="eastAsia"/>
          <w:b/>
          <w:szCs w:val="36"/>
          <w:highlight w:val="none"/>
          <w:lang w:bidi="ar"/>
        </w:rPr>
        <w:t xml:space="preserve">  </w:t>
      </w:r>
      <w:r>
        <w:rPr>
          <w:rFonts w:hint="eastAsia"/>
          <w:highlight w:val="none"/>
        </w:rPr>
        <w:t>钢筋宜采用机械设备进行调直，调直设备不应对钢筋具有延伸功能。钢筋调直过程中不应损伤带肋钢筋的横肋。调直后的钢筋应平直</w:t>
      </w:r>
      <w:r>
        <w:rPr>
          <w:rFonts w:hint="eastAsia"/>
          <w:highlight w:val="none"/>
          <w:lang w:eastAsia="zh-CN"/>
        </w:rPr>
        <w:t>，</w:t>
      </w:r>
      <w:r>
        <w:rPr>
          <w:rFonts w:hint="eastAsia"/>
          <w:highlight w:val="none"/>
        </w:rPr>
        <w:t>不应有局部弯折。</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default" w:ascii="黑体" w:hAnsi="黑体" w:eastAsia="黑体" w:cs="黑体"/>
          <w:b w:val="0"/>
          <w:bCs/>
          <w:kern w:val="2"/>
          <w:sz w:val="21"/>
          <w:szCs w:val="21"/>
          <w:highlight w:val="none"/>
          <w:lang w:val="en-US" w:eastAsia="zh-CN" w:bidi="ar-SA"/>
        </w:rPr>
      </w:pPr>
      <w:bookmarkStart w:id="67" w:name="_Toc23608"/>
      <w:bookmarkStart w:id="68" w:name="_Toc3545"/>
      <w:bookmarkStart w:id="69" w:name="_Toc12269"/>
      <w:bookmarkStart w:id="70" w:name="_Toc462409449"/>
      <w:r>
        <w:rPr>
          <w:rFonts w:hint="eastAsia" w:ascii="Times New Roman" w:hAnsi="Times New Roman"/>
          <w:sz w:val="21"/>
          <w:szCs w:val="21"/>
          <w:highlight w:val="none"/>
          <w:lang w:val="en-US" w:eastAsia="zh-CN"/>
        </w:rPr>
        <w:t>4</w:t>
      </w:r>
      <w:r>
        <w:rPr>
          <w:rFonts w:hint="eastAsia" w:ascii="宋体" w:hAnsi="宋体" w:eastAsia="宋体"/>
          <w:sz w:val="21"/>
          <w:szCs w:val="21"/>
          <w:highlight w:val="none"/>
        </w:rPr>
        <w:t>.</w:t>
      </w:r>
      <w:r>
        <w:rPr>
          <w:rFonts w:hint="eastAsia" w:ascii="Times New Roman" w:hAnsi="Times New Roman" w:eastAsia="宋体"/>
          <w:sz w:val="21"/>
          <w:szCs w:val="21"/>
          <w:highlight w:val="none"/>
          <w:lang w:val="en-US" w:eastAsia="zh-CN"/>
        </w:rPr>
        <w:t>3</w:t>
      </w:r>
      <w:r>
        <w:rPr>
          <w:rFonts w:hint="eastAsia" w:ascii="黑体" w:hAnsi="黑体" w:eastAsia="黑体" w:cs="黑体"/>
          <w:b w:val="0"/>
          <w:bCs/>
          <w:kern w:val="2"/>
          <w:sz w:val="21"/>
          <w:szCs w:val="21"/>
          <w:highlight w:val="none"/>
          <w:lang w:val="en-US" w:eastAsia="zh-CN" w:bidi="ar-SA"/>
        </w:rPr>
        <w:t xml:space="preserve">  混 凝 土</w:t>
      </w:r>
      <w:bookmarkEnd w:id="67"/>
      <w:bookmarkEnd w:id="68"/>
      <w:bookmarkEnd w:id="69"/>
    </w:p>
    <w:p>
      <w:pPr>
        <w:spacing w:line="240" w:lineRule="auto"/>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ascii="Times New Roman" w:hAnsi="Times New Roman" w:eastAsia="宋体"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cs="Times New Roman"/>
          <w:b/>
          <w:bCs/>
          <w:sz w:val="21"/>
          <w:szCs w:val="21"/>
          <w:highlight w:val="none"/>
        </w:rPr>
        <w:t xml:space="preserve"> </w:t>
      </w:r>
      <w:r>
        <w:rPr>
          <w:rFonts w:hint="eastAsia" w:ascii="宋体" w:hAnsi="宋体" w:cs="宋体"/>
          <w:b/>
          <w:sz w:val="21"/>
          <w:szCs w:val="21"/>
          <w:highlight w:val="none"/>
          <w:lang w:bidi="ar"/>
        </w:rPr>
        <w:t xml:space="preserve"> </w:t>
      </w:r>
      <w:r>
        <w:rPr>
          <w:rFonts w:hint="eastAsia" w:ascii="Times New Roman" w:hAnsi="Times New Roman" w:eastAsia="宋体" w:cs="Times New Roman"/>
          <w:kern w:val="2"/>
          <w:sz w:val="21"/>
          <w:szCs w:val="22"/>
          <w:highlight w:val="none"/>
          <w:lang w:val="en-US" w:eastAsia="zh-CN" w:bidi="ar-SA"/>
        </w:rPr>
        <w:t>混凝土生产用各类</w:t>
      </w:r>
      <w:r>
        <w:rPr>
          <w:rFonts w:hint="eastAsia"/>
          <w:highlight w:val="none"/>
          <w:lang w:val="en-US" w:eastAsia="zh-CN"/>
        </w:rPr>
        <w:t>原材料</w:t>
      </w:r>
      <w:r>
        <w:rPr>
          <w:rFonts w:hint="eastAsia" w:ascii="Times New Roman" w:hAnsi="Times New Roman" w:eastAsia="宋体" w:cs="Times New Roman"/>
          <w:kern w:val="2"/>
          <w:sz w:val="21"/>
          <w:szCs w:val="22"/>
          <w:highlight w:val="none"/>
          <w:lang w:val="en-US" w:eastAsia="zh-CN" w:bidi="ar-SA"/>
        </w:rPr>
        <w:t>应根据技术要求和工程特点选用，混凝土的氯离子含量、放射性指标及碱含量等技术指标应符合国家现行有关标准的规定。</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2</w:t>
      </w:r>
      <w:r>
        <w:rPr>
          <w:rFonts w:hint="eastAsia"/>
          <w:b/>
          <w:bCs/>
          <w:szCs w:val="21"/>
          <w:highlight w:val="none"/>
        </w:rPr>
        <w:t xml:space="preserve"> </w:t>
      </w:r>
      <w:r>
        <w:rPr>
          <w:rFonts w:hint="eastAsia"/>
          <w:b/>
          <w:szCs w:val="21"/>
          <w:highlight w:val="none"/>
          <w:lang w:bidi="ar"/>
        </w:rPr>
        <w:t xml:space="preserve"> </w:t>
      </w:r>
      <w:r>
        <w:rPr>
          <w:rFonts w:hint="eastAsia"/>
          <w:highlight w:val="none"/>
        </w:rPr>
        <w:t>水泥的选用应根据设计、施工要求、工程所处环境条件确定。普通混凝土宜选用通用硅酸盐水泥，应符合现行国家标准《通用硅酸盐水泥》GB 175的规定。有特殊需要时，也可选用其他品种水泥。处于潮湿环境的混凝土结构，当使用碱活性骨料时，宜采用低碱水泥。</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3</w:t>
      </w:r>
      <w:r>
        <w:rPr>
          <w:rFonts w:hint="eastAsia"/>
          <w:b/>
          <w:bCs/>
          <w:szCs w:val="21"/>
          <w:highlight w:val="none"/>
        </w:rPr>
        <w:t xml:space="preserve">  </w:t>
      </w:r>
      <w:r>
        <w:rPr>
          <w:rFonts w:hint="eastAsia"/>
          <w:highlight w:val="none"/>
        </w:rPr>
        <w:t>粗骨料宜选用粒径5mm~25mm、粒形良好、质地坚硬的洁净碎石，质量应符合国家现行标准《普通混凝土用砂、石质量及检验方法标准》JGJ</w:t>
      </w:r>
      <w:r>
        <w:rPr>
          <w:rFonts w:hint="eastAsia"/>
          <w:highlight w:val="none"/>
          <w:lang w:val="en-US" w:eastAsia="zh-CN"/>
        </w:rPr>
        <w:t xml:space="preserve"> </w:t>
      </w:r>
      <w:r>
        <w:rPr>
          <w:rFonts w:hint="eastAsia"/>
          <w:highlight w:val="none"/>
        </w:rPr>
        <w:t>52的规定。</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4</w:t>
      </w:r>
      <w:r>
        <w:rPr>
          <w:rFonts w:hint="eastAsia"/>
          <w:b/>
          <w:bCs/>
          <w:szCs w:val="21"/>
          <w:highlight w:val="none"/>
        </w:rPr>
        <w:t xml:space="preserve">  </w:t>
      </w:r>
      <w:r>
        <w:rPr>
          <w:rFonts w:hint="eastAsia"/>
          <w:highlight w:val="none"/>
        </w:rPr>
        <w:t>细骨料宜选用细度模数为2.3~3.0、级配良好、质地坚硬、颗粒洁净的天然砂和机制砂，质量应符合国家现行标准《普通混凝土用砂、石质量及检验方法标准》JGJ</w:t>
      </w:r>
      <w:r>
        <w:rPr>
          <w:rFonts w:hint="eastAsia"/>
          <w:highlight w:val="none"/>
          <w:lang w:val="en-US" w:eastAsia="zh-CN"/>
        </w:rPr>
        <w:t xml:space="preserve"> </w:t>
      </w:r>
      <w:r>
        <w:rPr>
          <w:rFonts w:hint="eastAsia"/>
          <w:highlight w:val="none"/>
        </w:rPr>
        <w:t>52的规定。海砂需经净化处理满足《海砂混凝土应用技术规范》JGJ 206的有关规定后使用。</w:t>
      </w:r>
    </w:p>
    <w:p>
      <w:pPr>
        <w:spacing w:line="240" w:lineRule="auto"/>
        <w:rPr>
          <w:rFonts w:hint="eastAsia" w:eastAsia="宋体"/>
          <w:highlight w:val="none"/>
          <w:lang w:eastAsia="zh-CN"/>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5</w:t>
      </w:r>
      <w:r>
        <w:rPr>
          <w:rFonts w:hint="eastAsia"/>
          <w:b/>
          <w:bCs/>
          <w:szCs w:val="21"/>
          <w:highlight w:val="none"/>
        </w:rPr>
        <w:t xml:space="preserve">  </w:t>
      </w:r>
      <w:r>
        <w:rPr>
          <w:rFonts w:hint="eastAsia"/>
          <w:highlight w:val="none"/>
        </w:rPr>
        <w:t>强度等级为C60及以上的混凝土，所用骨料除应符合本规范第4</w:t>
      </w:r>
      <w:r>
        <w:rPr>
          <w:rFonts w:hint="eastAsia" w:ascii="宋体" w:hAnsi="宋体" w:eastAsia="宋体" w:cs="宋体"/>
          <w:highlight w:val="none"/>
        </w:rPr>
        <w:t>.</w:t>
      </w:r>
      <w:r>
        <w:rPr>
          <w:rFonts w:hint="eastAsia"/>
          <w:highlight w:val="none"/>
        </w:rPr>
        <w:t>3</w:t>
      </w:r>
      <w:r>
        <w:rPr>
          <w:rFonts w:hint="eastAsia" w:ascii="宋体" w:hAnsi="宋体" w:eastAsia="宋体" w:cs="宋体"/>
          <w:highlight w:val="none"/>
        </w:rPr>
        <w:t>.</w:t>
      </w:r>
      <w:r>
        <w:rPr>
          <w:rFonts w:hint="eastAsia"/>
          <w:highlight w:val="none"/>
        </w:rPr>
        <w:t>3和4</w:t>
      </w:r>
      <w:r>
        <w:rPr>
          <w:rFonts w:hint="eastAsia" w:ascii="宋体" w:hAnsi="宋体" w:eastAsia="宋体" w:cs="宋体"/>
          <w:highlight w:val="none"/>
        </w:rPr>
        <w:t>.</w:t>
      </w:r>
      <w:r>
        <w:rPr>
          <w:rFonts w:hint="eastAsia"/>
          <w:highlight w:val="none"/>
        </w:rPr>
        <w:t>3</w:t>
      </w:r>
      <w:r>
        <w:rPr>
          <w:rFonts w:hint="eastAsia" w:ascii="宋体" w:hAnsi="宋体" w:eastAsia="宋体" w:cs="宋体"/>
          <w:highlight w:val="none"/>
        </w:rPr>
        <w:t>.</w:t>
      </w:r>
      <w:r>
        <w:rPr>
          <w:rFonts w:hint="eastAsia"/>
          <w:highlight w:val="none"/>
        </w:rPr>
        <w:t>4条的规定外，尚应符合下列规定</w:t>
      </w:r>
      <w:r>
        <w:rPr>
          <w:rFonts w:hint="eastAsia"/>
          <w:highlight w:val="none"/>
          <w:lang w:eastAsia="zh-CN"/>
        </w:rPr>
        <w:t>：</w:t>
      </w:r>
    </w:p>
    <w:p>
      <w:pPr>
        <w:tabs>
          <w:tab w:val="left" w:pos="5544"/>
        </w:tabs>
        <w:spacing w:line="240" w:lineRule="auto"/>
        <w:ind w:firstLine="440" w:firstLineChars="200"/>
        <w:outlineLvl w:val="9"/>
        <w:rPr>
          <w:rFonts w:ascii="Tahoma" w:hAnsi="Tahoma" w:eastAsia="Tahoma" w:cs="Tahoma"/>
          <w:szCs w:val="21"/>
          <w:highlight w:val="none"/>
        </w:rPr>
      </w:pPr>
      <w:bookmarkStart w:id="71" w:name="_Toc11328"/>
      <w:bookmarkStart w:id="72" w:name="_Toc1230"/>
      <w:r>
        <w:rPr>
          <w:b/>
          <w:bCs/>
          <w:szCs w:val="21"/>
          <w:highlight w:val="none"/>
        </w:rPr>
        <w:t xml:space="preserve">1 </w:t>
      </w:r>
      <w:r>
        <w:rPr>
          <w:rFonts w:hint="eastAsia"/>
          <w:b/>
          <w:bCs/>
          <w:szCs w:val="21"/>
          <w:highlight w:val="none"/>
          <w:lang w:val="en-US" w:eastAsia="zh-CN"/>
        </w:rPr>
        <w:t xml:space="preserve"> </w:t>
      </w:r>
      <w:r>
        <w:rPr>
          <w:rFonts w:hint="eastAsia"/>
          <w:highlight w:val="none"/>
        </w:rPr>
        <w:t>粗骨料压碎指标的控制值应经试验确定；</w:t>
      </w:r>
      <w:bookmarkEnd w:id="71"/>
      <w:bookmarkEnd w:id="72"/>
    </w:p>
    <w:p>
      <w:pPr>
        <w:tabs>
          <w:tab w:val="left" w:pos="5544"/>
        </w:tabs>
        <w:spacing w:line="240" w:lineRule="auto"/>
        <w:ind w:firstLine="440" w:firstLineChars="200"/>
        <w:rPr>
          <w:rFonts w:hint="eastAsia"/>
          <w:highlight w:val="none"/>
        </w:rPr>
      </w:pPr>
      <w:r>
        <w:rPr>
          <w:b/>
          <w:bCs/>
          <w:szCs w:val="21"/>
          <w:highlight w:val="none"/>
        </w:rPr>
        <w:t xml:space="preserve">2 </w:t>
      </w:r>
      <w:r>
        <w:rPr>
          <w:rFonts w:hint="eastAsia"/>
          <w:b/>
          <w:bCs/>
          <w:szCs w:val="21"/>
          <w:highlight w:val="none"/>
          <w:lang w:val="en-US" w:eastAsia="zh-CN"/>
        </w:rPr>
        <w:t xml:space="preserve"> </w:t>
      </w:r>
      <w:r>
        <w:rPr>
          <w:rFonts w:hint="eastAsia"/>
          <w:highlight w:val="none"/>
        </w:rPr>
        <w:t>粗骨料最大粒径不宜大于25mm，针片状颗粒含量不应大于8.0%，含泥量不应大于0.5%，泥块含量不应大于0.2%；</w:t>
      </w:r>
    </w:p>
    <w:p>
      <w:pPr>
        <w:tabs>
          <w:tab w:val="left" w:pos="5544"/>
        </w:tabs>
        <w:spacing w:line="240" w:lineRule="auto"/>
        <w:ind w:firstLine="440" w:firstLineChars="200"/>
        <w:rPr>
          <w:rFonts w:hint="eastAsia"/>
          <w:highlight w:val="none"/>
        </w:rPr>
      </w:pPr>
      <w:r>
        <w:rPr>
          <w:b/>
          <w:bCs/>
          <w:szCs w:val="21"/>
          <w:highlight w:val="none"/>
        </w:rPr>
        <w:t xml:space="preserve">3 </w:t>
      </w:r>
      <w:r>
        <w:rPr>
          <w:rFonts w:hint="eastAsia"/>
          <w:b/>
          <w:bCs/>
          <w:szCs w:val="21"/>
          <w:highlight w:val="none"/>
          <w:lang w:val="en-US" w:eastAsia="zh-CN"/>
        </w:rPr>
        <w:t xml:space="preserve"> </w:t>
      </w:r>
      <w:r>
        <w:rPr>
          <w:rFonts w:hint="eastAsia"/>
          <w:highlight w:val="none"/>
        </w:rPr>
        <w:t>细骨料细度模数宜控制为2.6~3.0，含泥量不应大于2.0%，泥块含量不应大于0.5%。</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6</w:t>
      </w:r>
      <w:r>
        <w:rPr>
          <w:rFonts w:hint="eastAsia"/>
          <w:b/>
          <w:bCs/>
          <w:szCs w:val="21"/>
          <w:highlight w:val="none"/>
        </w:rPr>
        <w:t xml:space="preserve">  </w:t>
      </w:r>
      <w:r>
        <w:rPr>
          <w:rFonts w:hint="eastAsia"/>
          <w:highlight w:val="none"/>
        </w:rPr>
        <w:t>轻集料应符合现行国家标准《轻集料及其试验方法》GB/T 17431.1的有关规定。</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7</w:t>
      </w:r>
      <w:r>
        <w:rPr>
          <w:rFonts w:hint="eastAsia"/>
          <w:b/>
          <w:bCs/>
          <w:szCs w:val="21"/>
          <w:highlight w:val="none"/>
        </w:rPr>
        <w:t xml:space="preserve">  </w:t>
      </w:r>
      <w:r>
        <w:rPr>
          <w:rFonts w:hint="eastAsia"/>
          <w:highlight w:val="none"/>
        </w:rPr>
        <w:t>矿物掺合料的选用应根据设计、施工要求，以及工程所处环境条件确定，其掺量应通过试验确定。粉煤灰应符合现行国家标准《用于水泥和混凝土中的粉煤灰》GB</w:t>
      </w:r>
      <w:r>
        <w:rPr>
          <w:rFonts w:hint="eastAsia"/>
          <w:highlight w:val="none"/>
          <w:lang w:val="en-US" w:eastAsia="zh-CN"/>
        </w:rPr>
        <w:t xml:space="preserve"> </w:t>
      </w:r>
      <w:r>
        <w:rPr>
          <w:rFonts w:hint="eastAsia"/>
          <w:highlight w:val="none"/>
        </w:rPr>
        <w:t>1596标准中规定的1 级灰或Ⅱ级灰的技术要求。矿粉应符合现行国家标准《用于水泥、砂浆和混凝土中的粒化高炉矿渣粉》GB/T 18046的技术要求。</w:t>
      </w:r>
    </w:p>
    <w:p>
      <w:pPr>
        <w:spacing w:line="240" w:lineRule="auto"/>
        <w:rPr>
          <w:bCs/>
          <w:highlight w:val="none"/>
          <w:lang w:bidi="ar"/>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8</w:t>
      </w:r>
      <w:r>
        <w:rPr>
          <w:rFonts w:hint="eastAsia"/>
          <w:b/>
          <w:bCs/>
          <w:szCs w:val="21"/>
          <w:highlight w:val="none"/>
        </w:rPr>
        <w:t xml:space="preserve"> </w:t>
      </w:r>
      <w:r>
        <w:rPr>
          <w:rFonts w:hint="eastAsia"/>
          <w:b/>
          <w:highlight w:val="none"/>
          <w:lang w:bidi="ar"/>
        </w:rPr>
        <w:t xml:space="preserve"> </w:t>
      </w:r>
      <w:r>
        <w:rPr>
          <w:rFonts w:hint="eastAsia"/>
          <w:highlight w:val="none"/>
        </w:rPr>
        <w:t>外加剂的选用应根据设计、施工要求，混凝土原材料性能以及工程所处环境条件等因素确定，并通过试验确定与水泥的相容性,质量应符合现行国家标准《混凝土外加剂》GB</w:t>
      </w:r>
      <w:r>
        <w:rPr>
          <w:rFonts w:hint="eastAsia"/>
          <w:highlight w:val="none"/>
          <w:lang w:val="en-US" w:eastAsia="zh-CN"/>
        </w:rPr>
        <w:t xml:space="preserve"> </w:t>
      </w:r>
      <w:r>
        <w:rPr>
          <w:rFonts w:hint="eastAsia"/>
          <w:highlight w:val="none"/>
        </w:rPr>
        <w:t>8076的规定。早强混凝土宜选用早强型聚羧酸减水剂。</w:t>
      </w:r>
    </w:p>
    <w:p>
      <w:pPr>
        <w:spacing w:line="240" w:lineRule="auto"/>
        <w:rPr>
          <w:bCs/>
          <w:highlight w:val="none"/>
          <w:lang w:bidi="ar"/>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9</w:t>
      </w:r>
      <w:r>
        <w:rPr>
          <w:rFonts w:hint="eastAsia"/>
          <w:b/>
          <w:bCs/>
          <w:szCs w:val="21"/>
          <w:highlight w:val="none"/>
        </w:rPr>
        <w:t xml:space="preserve"> </w:t>
      </w:r>
      <w:r>
        <w:rPr>
          <w:rFonts w:hint="eastAsia"/>
          <w:b/>
          <w:highlight w:val="none"/>
          <w:lang w:bidi="ar"/>
        </w:rPr>
        <w:t xml:space="preserve"> </w:t>
      </w:r>
      <w:r>
        <w:rPr>
          <w:rFonts w:hint="eastAsia"/>
          <w:highlight w:val="none"/>
        </w:rPr>
        <w:t>混凝土拌合及养护用水，应符合现行行业标准《混凝土用水标准》JGJ 63的有关规定。</w:t>
      </w:r>
      <w:bookmarkEnd w:id="70"/>
    </w:p>
    <w:p>
      <w:pPr>
        <w:autoSpaceDE w:val="0"/>
        <w:autoSpaceDN w:val="0"/>
        <w:adjustRightInd w:val="0"/>
        <w:spacing w:line="240" w:lineRule="auto"/>
        <w:jc w:val="left"/>
        <w:rPr>
          <w:rFonts w:hint="eastAsia"/>
          <w:highlight w:val="none"/>
        </w:rPr>
      </w:pPr>
      <w:bookmarkStart w:id="73" w:name="_Toc462409452"/>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10</w:t>
      </w:r>
      <w:r>
        <w:rPr>
          <w:rFonts w:hint="eastAsia"/>
          <w:b/>
          <w:bCs/>
          <w:szCs w:val="21"/>
          <w:highlight w:val="none"/>
        </w:rPr>
        <w:t xml:space="preserve"> </w:t>
      </w:r>
      <w:r>
        <w:rPr>
          <w:rFonts w:hint="eastAsia"/>
          <w:b/>
          <w:highlight w:val="none"/>
          <w:lang w:bidi="ar"/>
        </w:rPr>
        <w:t xml:space="preserve"> </w:t>
      </w:r>
      <w:r>
        <w:rPr>
          <w:rFonts w:hint="eastAsia"/>
          <w:highlight w:val="none"/>
        </w:rPr>
        <w:t>混凝土宜采用自动计量的强制式搅拌设备</w:t>
      </w:r>
      <w:bookmarkEnd w:id="73"/>
      <w:r>
        <w:rPr>
          <w:rFonts w:hint="eastAsia"/>
          <w:highlight w:val="none"/>
        </w:rPr>
        <w:t>生产，原材料每盘称量的允许偏差，水泥，掺合料±2%，粗、细骨料±3%，水，外加剂±1%。</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11</w:t>
      </w:r>
      <w:r>
        <w:rPr>
          <w:rFonts w:hint="eastAsia"/>
          <w:b/>
          <w:bCs/>
          <w:szCs w:val="21"/>
          <w:highlight w:val="none"/>
        </w:rPr>
        <w:t xml:space="preserve">  </w:t>
      </w:r>
      <w:r>
        <w:rPr>
          <w:rFonts w:hint="eastAsia"/>
          <w:highlight w:val="none"/>
        </w:rPr>
        <w:t>混凝土的流动性满足各类构件的施工要求，冬季混凝土入模温度不应低于10℃，夏季混凝土入模最高温度不应超过35℃。</w:t>
      </w:r>
    </w:p>
    <w:p>
      <w:pPr>
        <w:spacing w:line="240" w:lineRule="auto"/>
        <w:rPr>
          <w:rFonts w:hint="eastAsia"/>
          <w:highlight w:val="none"/>
        </w:rPr>
      </w:pPr>
      <w:r>
        <w:rPr>
          <w:rFonts w:hint="eastAsia"/>
          <w:b/>
          <w:bCs/>
          <w:szCs w:val="21"/>
          <w:highlight w:val="none"/>
          <w:lang w:val="en-US" w:eastAsia="zh-CN"/>
        </w:rPr>
        <w:t>4</w:t>
      </w:r>
      <w:r>
        <w:rPr>
          <w:rFonts w:ascii="宋体" w:hAnsi="宋体"/>
          <w:b/>
          <w:bCs/>
          <w:szCs w:val="21"/>
          <w:highlight w:val="none"/>
        </w:rPr>
        <w:t>.</w:t>
      </w:r>
      <w:r>
        <w:rPr>
          <w:rFonts w:hint="eastAsia"/>
          <w:b/>
          <w:bCs/>
          <w:szCs w:val="21"/>
          <w:highlight w:val="none"/>
          <w:lang w:val="en-US" w:eastAsia="zh-CN"/>
        </w:rPr>
        <w:t>3</w:t>
      </w:r>
      <w:r>
        <w:rPr>
          <w:rFonts w:ascii="宋体" w:hAnsi="宋体" w:eastAsia="宋体" w:cstheme="minorBidi"/>
          <w:b/>
          <w:bCs/>
          <w:kern w:val="2"/>
          <w:sz w:val="21"/>
          <w:szCs w:val="21"/>
          <w:highlight w:val="none"/>
          <w:lang w:val="en-US" w:eastAsia="zh-CN" w:bidi="ar-SA"/>
        </w:rPr>
        <w:t>.</w:t>
      </w:r>
      <w:r>
        <w:rPr>
          <w:rFonts w:hint="eastAsia"/>
          <w:b/>
          <w:bCs/>
          <w:szCs w:val="21"/>
          <w:highlight w:val="none"/>
          <w:lang w:val="en-US" w:eastAsia="zh-CN"/>
        </w:rPr>
        <w:t>12</w:t>
      </w:r>
      <w:r>
        <w:rPr>
          <w:rFonts w:hint="eastAsia"/>
          <w:b/>
          <w:kern w:val="0"/>
          <w:szCs w:val="21"/>
          <w:highlight w:val="none"/>
          <w:lang w:bidi="ar"/>
        </w:rPr>
        <w:t xml:space="preserve">  </w:t>
      </w:r>
      <w:r>
        <w:rPr>
          <w:rFonts w:hint="eastAsia"/>
          <w:highlight w:val="none"/>
        </w:rPr>
        <w:t>混凝土应按国家现行标准《普通混凝土配合比设计规程》JGJ</w:t>
      </w:r>
      <w:r>
        <w:rPr>
          <w:rFonts w:hint="eastAsia"/>
          <w:highlight w:val="none"/>
          <w:lang w:val="en-US" w:eastAsia="zh-CN"/>
        </w:rPr>
        <w:t xml:space="preserve"> </w:t>
      </w:r>
      <w:r>
        <w:rPr>
          <w:rFonts w:hint="eastAsia"/>
          <w:highlight w:val="none"/>
        </w:rPr>
        <w:t>55的有关规定，根据混凝土强度等级、耐久性和工作性等要求进行配合比设计。构件生产过程中出现下列情况之一，应重新进行混凝土配合比设计：</w:t>
      </w:r>
    </w:p>
    <w:p>
      <w:pPr>
        <w:spacing w:line="240" w:lineRule="auto"/>
        <w:ind w:firstLine="440" w:firstLineChars="200"/>
        <w:rPr>
          <w:rFonts w:hint="eastAsia"/>
          <w:highlight w:val="none"/>
        </w:rPr>
      </w:pPr>
      <w:r>
        <w:rPr>
          <w:b/>
          <w:bCs/>
          <w:szCs w:val="21"/>
          <w:highlight w:val="none"/>
        </w:rPr>
        <w:t xml:space="preserve">1 </w:t>
      </w:r>
      <w:r>
        <w:rPr>
          <w:rFonts w:hint="eastAsia"/>
          <w:b/>
          <w:bCs/>
          <w:szCs w:val="21"/>
          <w:highlight w:val="none"/>
          <w:lang w:val="en-US" w:eastAsia="zh-CN"/>
        </w:rPr>
        <w:t xml:space="preserve"> </w:t>
      </w:r>
      <w:r>
        <w:rPr>
          <w:rFonts w:hint="eastAsia"/>
          <w:highlight w:val="none"/>
        </w:rPr>
        <w:t>混凝土出现质量问题；</w:t>
      </w:r>
    </w:p>
    <w:p>
      <w:pPr>
        <w:spacing w:line="240" w:lineRule="auto"/>
        <w:ind w:firstLine="440" w:firstLineChars="200"/>
        <w:rPr>
          <w:rFonts w:hint="eastAsia"/>
          <w:highlight w:val="none"/>
        </w:rPr>
      </w:pPr>
      <w:r>
        <w:rPr>
          <w:b/>
          <w:bCs/>
          <w:szCs w:val="21"/>
          <w:highlight w:val="none"/>
        </w:rPr>
        <w:t xml:space="preserve">2 </w:t>
      </w:r>
      <w:r>
        <w:rPr>
          <w:rFonts w:hint="eastAsia"/>
          <w:b/>
          <w:bCs/>
          <w:szCs w:val="21"/>
          <w:highlight w:val="none"/>
          <w:lang w:val="en-US" w:eastAsia="zh-CN"/>
        </w:rPr>
        <w:t xml:space="preserve"> </w:t>
      </w:r>
      <w:r>
        <w:rPr>
          <w:rFonts w:hint="eastAsia"/>
          <w:highlight w:val="none"/>
        </w:rPr>
        <w:t>原材料品种、来源发生变化；</w:t>
      </w:r>
    </w:p>
    <w:p>
      <w:pPr>
        <w:spacing w:line="240" w:lineRule="auto"/>
        <w:ind w:firstLine="440" w:firstLineChars="200"/>
        <w:rPr>
          <w:rFonts w:hint="eastAsia"/>
          <w:highlight w:val="none"/>
        </w:rPr>
      </w:pPr>
      <w:r>
        <w:rPr>
          <w:b/>
          <w:bCs/>
          <w:szCs w:val="21"/>
          <w:highlight w:val="none"/>
        </w:rPr>
        <w:t xml:space="preserve">3 </w:t>
      </w:r>
      <w:r>
        <w:rPr>
          <w:rFonts w:hint="eastAsia"/>
          <w:b/>
          <w:bCs/>
          <w:szCs w:val="21"/>
          <w:highlight w:val="none"/>
          <w:lang w:val="en-US" w:eastAsia="zh-CN"/>
        </w:rPr>
        <w:t xml:space="preserve"> </w:t>
      </w:r>
      <w:r>
        <w:rPr>
          <w:rFonts w:hint="eastAsia"/>
          <w:highlight w:val="none"/>
        </w:rPr>
        <w:t>停产时间超过三个月；</w:t>
      </w:r>
    </w:p>
    <w:p>
      <w:pPr>
        <w:spacing w:line="240" w:lineRule="auto"/>
        <w:ind w:firstLine="440" w:firstLineChars="200"/>
        <w:rPr>
          <w:rFonts w:hint="eastAsia"/>
          <w:highlight w:val="none"/>
        </w:rPr>
      </w:pPr>
      <w:r>
        <w:rPr>
          <w:b/>
          <w:bCs/>
          <w:szCs w:val="21"/>
          <w:highlight w:val="none"/>
        </w:rPr>
        <w:t xml:space="preserve">4 </w:t>
      </w:r>
      <w:r>
        <w:rPr>
          <w:rFonts w:hint="eastAsia"/>
          <w:b/>
          <w:bCs/>
          <w:szCs w:val="21"/>
          <w:highlight w:val="none"/>
          <w:lang w:val="en-US" w:eastAsia="zh-CN"/>
        </w:rPr>
        <w:t xml:space="preserve"> </w:t>
      </w:r>
      <w:r>
        <w:rPr>
          <w:rFonts w:hint="eastAsia"/>
          <w:highlight w:val="none"/>
        </w:rPr>
        <w:t>合同特别要求。</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default" w:ascii="黑体" w:hAnsi="黑体" w:eastAsia="黑体" w:cs="黑体"/>
          <w:b w:val="0"/>
          <w:bCs w:val="0"/>
          <w:sz w:val="21"/>
          <w:szCs w:val="21"/>
          <w:highlight w:val="none"/>
          <w:lang w:val="en-US" w:eastAsia="zh-CN"/>
        </w:rPr>
      </w:pPr>
      <w:bookmarkStart w:id="74" w:name="_Toc18074"/>
      <w:bookmarkStart w:id="75" w:name="_Toc19858"/>
      <w:bookmarkStart w:id="76" w:name="_Toc13147"/>
      <w:bookmarkStart w:id="77" w:name="_Toc92398308"/>
      <w:bookmarkStart w:id="78" w:name="_Toc139377981"/>
      <w:bookmarkStart w:id="79" w:name="_Toc117169850"/>
      <w:bookmarkStart w:id="80" w:name="_Toc153205477"/>
      <w:bookmarkStart w:id="81" w:name="_Toc116581550"/>
      <w:bookmarkStart w:id="82" w:name="_Toc143007007"/>
      <w:bookmarkStart w:id="83" w:name="_Toc114470655"/>
      <w:bookmarkStart w:id="84" w:name="_Toc97737192"/>
      <w:bookmarkStart w:id="85" w:name="_Toc116895362"/>
      <w:r>
        <w:rPr>
          <w:rFonts w:hint="eastAsia" w:ascii="Times New Roman" w:hAnsi="Times New Roman"/>
          <w:sz w:val="21"/>
          <w:szCs w:val="21"/>
          <w:highlight w:val="none"/>
          <w:lang w:val="en-US" w:eastAsia="zh-CN"/>
        </w:rPr>
        <w:t>4</w:t>
      </w:r>
      <w:r>
        <w:rPr>
          <w:rFonts w:hint="eastAsia" w:ascii="宋体" w:hAnsi="宋体" w:eastAsia="宋体"/>
          <w:sz w:val="21"/>
          <w:szCs w:val="21"/>
          <w:highlight w:val="none"/>
        </w:rPr>
        <w:t>.</w:t>
      </w:r>
      <w:r>
        <w:rPr>
          <w:rFonts w:hint="eastAsia" w:ascii="Times New Roman" w:hAnsi="Times New Roman" w:eastAsia="宋体"/>
          <w:sz w:val="21"/>
          <w:szCs w:val="21"/>
          <w:highlight w:val="none"/>
          <w:lang w:val="en-US" w:eastAsia="zh-CN"/>
        </w:rPr>
        <w:t>4</w:t>
      </w:r>
      <w:r>
        <w:rPr>
          <w:rFonts w:hint="eastAsia" w:ascii="黑体" w:hAnsi="黑体" w:eastAsia="黑体" w:cs="黑体"/>
          <w:b w:val="0"/>
          <w:bCs/>
          <w:kern w:val="2"/>
          <w:sz w:val="21"/>
          <w:szCs w:val="21"/>
          <w:highlight w:val="none"/>
          <w:lang w:val="en-US" w:eastAsia="zh-CN" w:bidi="ar-SA"/>
        </w:rPr>
        <w:t xml:space="preserve">  预 埋 件</w:t>
      </w:r>
      <w:bookmarkEnd w:id="74"/>
      <w:bookmarkEnd w:id="75"/>
      <w:bookmarkEnd w:id="76"/>
    </w:p>
    <w:bookmarkEnd w:id="77"/>
    <w:bookmarkEnd w:id="78"/>
    <w:bookmarkEnd w:id="79"/>
    <w:bookmarkEnd w:id="80"/>
    <w:bookmarkEnd w:id="81"/>
    <w:bookmarkEnd w:id="82"/>
    <w:bookmarkEnd w:id="83"/>
    <w:bookmarkEnd w:id="84"/>
    <w:bookmarkEnd w:id="85"/>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b/>
          <w:bCs/>
          <w:szCs w:val="21"/>
          <w:highlight w:val="none"/>
        </w:rPr>
        <w:t xml:space="preserve"> </w:t>
      </w:r>
      <w:r>
        <w:rPr>
          <w:rFonts w:hint="eastAsia"/>
          <w:b/>
          <w:bCs/>
          <w:kern w:val="0"/>
          <w:szCs w:val="21"/>
          <w:highlight w:val="none"/>
          <w:lang w:bidi="ar"/>
        </w:rPr>
        <w:t xml:space="preserve"> </w:t>
      </w:r>
      <w:r>
        <w:rPr>
          <w:rFonts w:hint="eastAsia"/>
          <w:highlight w:val="none"/>
        </w:rPr>
        <w:t>钢筋吊环应符合《混凝土结构设计规范》GB 50010的要求，应采用未经冷加工处理的HPB300钢筋制作，并应满足如下要求：</w:t>
      </w:r>
    </w:p>
    <w:p>
      <w:pPr>
        <w:spacing w:line="240" w:lineRule="auto"/>
        <w:ind w:firstLine="440" w:firstLineChars="200"/>
        <w:rPr>
          <w:rFonts w:hint="eastAsia"/>
          <w:highlight w:val="none"/>
        </w:rPr>
      </w:pPr>
      <w:r>
        <w:rPr>
          <w:rFonts w:hint="eastAsia"/>
          <w:b/>
          <w:bCs/>
          <w:szCs w:val="21"/>
          <w:highlight w:val="none"/>
        </w:rPr>
        <w:t>1</w:t>
      </w:r>
      <w:r>
        <w:rPr>
          <w:b/>
          <w:bCs/>
          <w:szCs w:val="21"/>
          <w:highlight w:val="none"/>
        </w:rPr>
        <w:t xml:space="preserve"> </w:t>
      </w:r>
      <w:r>
        <w:rPr>
          <w:rFonts w:hint="eastAsia"/>
          <w:b/>
          <w:bCs/>
          <w:szCs w:val="21"/>
          <w:highlight w:val="none"/>
          <w:lang w:val="en-US" w:eastAsia="zh-CN"/>
        </w:rPr>
        <w:t xml:space="preserve"> </w:t>
      </w:r>
      <w:r>
        <w:rPr>
          <w:rFonts w:hint="eastAsia"/>
          <w:highlight w:val="none"/>
        </w:rPr>
        <w:t>吊环锚入混凝土中的深度不应小于30倍吊环钢筋的直径，并应做好固定措施；</w:t>
      </w:r>
    </w:p>
    <w:p>
      <w:pPr>
        <w:spacing w:line="240" w:lineRule="auto"/>
        <w:ind w:firstLine="440" w:firstLineChars="200"/>
        <w:rPr>
          <w:rFonts w:hint="eastAsia"/>
          <w:highlight w:val="none"/>
        </w:rPr>
      </w:pPr>
      <w:r>
        <w:rPr>
          <w:rFonts w:hint="eastAsia"/>
          <w:b/>
          <w:bCs/>
          <w:szCs w:val="21"/>
          <w:highlight w:val="none"/>
        </w:rPr>
        <w:t>2</w:t>
      </w:r>
      <w:r>
        <w:rPr>
          <w:rFonts w:hint="eastAsia" w:cs="宋体"/>
          <w:bCs/>
          <w:kern w:val="0"/>
          <w:szCs w:val="21"/>
          <w:highlight w:val="none"/>
          <w:lang w:bidi="ar"/>
        </w:rPr>
        <w:t xml:space="preserve"> </w:t>
      </w:r>
      <w:r>
        <w:rPr>
          <w:rFonts w:hint="eastAsia" w:cs="宋体"/>
          <w:bCs/>
          <w:kern w:val="0"/>
          <w:szCs w:val="21"/>
          <w:highlight w:val="none"/>
          <w:lang w:val="en-US" w:eastAsia="zh-CN" w:bidi="ar"/>
        </w:rPr>
        <w:t xml:space="preserve"> </w:t>
      </w:r>
      <w:r>
        <w:rPr>
          <w:rFonts w:hint="eastAsia"/>
          <w:highlight w:val="none"/>
        </w:rPr>
        <w:t>吊环的弯心直径为2.5倍吊环钢筋直径，且不得小于60mm；</w:t>
      </w:r>
    </w:p>
    <w:p>
      <w:pPr>
        <w:tabs>
          <w:tab w:val="left" w:pos="5544"/>
        </w:tabs>
        <w:spacing w:line="240" w:lineRule="auto"/>
        <w:ind w:firstLine="440" w:firstLineChars="200"/>
        <w:outlineLvl w:val="9"/>
        <w:rPr>
          <w:rFonts w:hint="eastAsia"/>
          <w:highlight w:val="none"/>
        </w:rPr>
      </w:pPr>
      <w:bookmarkStart w:id="86" w:name="_Toc25496"/>
      <w:bookmarkStart w:id="87" w:name="_Toc29541"/>
      <w:r>
        <w:rPr>
          <w:rFonts w:hint="eastAsia"/>
          <w:b/>
          <w:bCs/>
          <w:szCs w:val="21"/>
          <w:highlight w:val="none"/>
        </w:rPr>
        <w:t>3</w:t>
      </w:r>
      <w:r>
        <w:rPr>
          <w:rFonts w:hint="eastAsia" w:ascii="宋体" w:hAnsi="宋体" w:cs="宋体"/>
          <w:highlight w:val="none"/>
          <w:lang w:bidi="ar"/>
        </w:rPr>
        <w:t xml:space="preserve"> </w:t>
      </w:r>
      <w:r>
        <w:rPr>
          <w:rFonts w:hint="eastAsia" w:ascii="宋体" w:hAnsi="宋体" w:cs="宋体"/>
          <w:highlight w:val="none"/>
          <w:lang w:val="en-US" w:eastAsia="zh-CN" w:bidi="ar"/>
        </w:rPr>
        <w:t xml:space="preserve"> </w:t>
      </w:r>
      <w:r>
        <w:rPr>
          <w:rFonts w:hint="eastAsia"/>
          <w:highlight w:val="none"/>
        </w:rPr>
        <w:t>吊环露出混凝土的高度</w:t>
      </w:r>
      <w:r>
        <w:rPr>
          <w:rFonts w:hint="eastAsia"/>
          <w:highlight w:val="none"/>
          <w:lang w:eastAsia="zh-CN"/>
        </w:rPr>
        <w:t>，</w:t>
      </w:r>
      <w:r>
        <w:rPr>
          <w:rFonts w:hint="eastAsia"/>
          <w:highlight w:val="none"/>
        </w:rPr>
        <w:t>应满足吊装的要求；</w:t>
      </w:r>
      <w:bookmarkEnd w:id="86"/>
      <w:bookmarkEnd w:id="87"/>
    </w:p>
    <w:p>
      <w:pPr>
        <w:tabs>
          <w:tab w:val="left" w:pos="5544"/>
        </w:tabs>
        <w:spacing w:line="240" w:lineRule="auto"/>
        <w:ind w:firstLine="440" w:firstLineChars="200"/>
        <w:rPr>
          <w:rFonts w:hint="eastAsia"/>
          <w:highlight w:val="none"/>
        </w:rPr>
      </w:pPr>
      <w:r>
        <w:rPr>
          <w:rFonts w:hint="eastAsia"/>
          <w:b/>
          <w:bCs/>
          <w:szCs w:val="21"/>
          <w:highlight w:val="none"/>
        </w:rPr>
        <w:t xml:space="preserve">4 </w:t>
      </w:r>
      <w:r>
        <w:rPr>
          <w:rFonts w:hint="eastAsia"/>
          <w:b/>
          <w:bCs/>
          <w:szCs w:val="21"/>
          <w:highlight w:val="none"/>
          <w:lang w:val="en-US" w:eastAsia="zh-CN"/>
        </w:rPr>
        <w:t xml:space="preserve"> </w:t>
      </w:r>
      <w:r>
        <w:rPr>
          <w:rFonts w:hint="eastAsia"/>
          <w:highlight w:val="none"/>
        </w:rPr>
        <w:t>吊环钢筋直径不宜大于30mm，吊环埋入方向宜与吊索方向基本一致；</w:t>
      </w:r>
    </w:p>
    <w:p>
      <w:pPr>
        <w:tabs>
          <w:tab w:val="left" w:pos="5544"/>
        </w:tabs>
        <w:spacing w:line="240" w:lineRule="auto"/>
        <w:ind w:firstLine="440" w:firstLineChars="200"/>
        <w:rPr>
          <w:rFonts w:hint="eastAsia"/>
          <w:highlight w:val="none"/>
        </w:rPr>
      </w:pPr>
      <w:r>
        <w:rPr>
          <w:rFonts w:hint="eastAsia"/>
          <w:b/>
          <w:bCs/>
          <w:szCs w:val="21"/>
          <w:highlight w:val="none"/>
        </w:rPr>
        <w:t>5</w:t>
      </w:r>
      <w:r>
        <w:rPr>
          <w:rFonts w:hint="eastAsia" w:ascii="宋体" w:hAnsi="宋体" w:cs="宋体"/>
          <w:highlight w:val="none"/>
          <w:lang w:bidi="ar"/>
        </w:rPr>
        <w:t xml:space="preserve"> </w:t>
      </w:r>
      <w:r>
        <w:rPr>
          <w:rFonts w:hint="eastAsia" w:ascii="宋体" w:hAnsi="宋体" w:cs="宋体"/>
          <w:highlight w:val="none"/>
          <w:lang w:val="en-US" w:eastAsia="zh-CN" w:bidi="ar"/>
        </w:rPr>
        <w:t xml:space="preserve"> </w:t>
      </w:r>
      <w:r>
        <w:rPr>
          <w:rFonts w:hint="eastAsia"/>
          <w:highlight w:val="none"/>
        </w:rPr>
        <w:t>钢筋末端应设置180°弯钩,弯钩末端直段长度、钩侧保护层、吊环内直径等尺寸应符合要求。</w:t>
      </w:r>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bCs/>
          <w:szCs w:val="21"/>
          <w:highlight w:val="none"/>
        </w:rPr>
        <w:t xml:space="preserve"> </w:t>
      </w:r>
      <w:r>
        <w:rPr>
          <w:rFonts w:hint="eastAsia"/>
          <w:b/>
          <w:bCs/>
          <w:kern w:val="0"/>
          <w:szCs w:val="21"/>
          <w:highlight w:val="none"/>
          <w:lang w:bidi="ar"/>
        </w:rPr>
        <w:t xml:space="preserve"> </w:t>
      </w:r>
      <w:r>
        <w:rPr>
          <w:rFonts w:hint="eastAsia"/>
          <w:highlight w:val="none"/>
        </w:rPr>
        <w:t>套筒、吊钉等金属预埋吊件，应选用碳素结构钢、优质碳素结构钢或合金结构钢</w:t>
      </w:r>
      <w:r>
        <w:rPr>
          <w:rFonts w:hint="eastAsia"/>
          <w:highlight w:val="none"/>
          <w:lang w:eastAsia="zh-CN"/>
        </w:rPr>
        <w:t>，</w:t>
      </w:r>
      <w:r>
        <w:rPr>
          <w:rFonts w:hint="eastAsia"/>
          <w:highlight w:val="none"/>
        </w:rPr>
        <w:t>表面不应有结疤面、裂纹、夹渣等质量缺陷</w:t>
      </w:r>
      <w:r>
        <w:rPr>
          <w:rFonts w:hint="eastAsia"/>
          <w:highlight w:val="none"/>
          <w:lang w:eastAsia="zh-CN"/>
        </w:rPr>
        <w:t>，</w:t>
      </w:r>
      <w:r>
        <w:rPr>
          <w:rFonts w:hint="eastAsia"/>
          <w:highlight w:val="none"/>
        </w:rPr>
        <w:t>且应有专业检测机构出具的检测合格报告和产品合格证。</w:t>
      </w:r>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bCs/>
          <w:kern w:val="0"/>
          <w:szCs w:val="21"/>
          <w:highlight w:val="none"/>
          <w:lang w:bidi="ar"/>
        </w:rPr>
        <w:t xml:space="preserve">  </w:t>
      </w:r>
      <w:r>
        <w:rPr>
          <w:rFonts w:hint="eastAsia"/>
          <w:highlight w:val="none"/>
        </w:rPr>
        <w:t>受力预埋锚板宜镀锌或采用不锈钢材质，钢筋、钢材应符合现行国家标准《混凝土结构设计规范》GB 50010的有关规定，表面应平整。连接用焊接材料应符合国家现行标准《钢结构设计标准》GB 50017、《钢结构焊接规范》GB 50661和《钢筋焊接及验收规程》JGJ 18等的规定。</w:t>
      </w:r>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b/>
          <w:bCs/>
          <w:kern w:val="0"/>
          <w:szCs w:val="21"/>
          <w:highlight w:val="none"/>
          <w:lang w:bidi="ar"/>
        </w:rPr>
        <w:t xml:space="preserve">  </w:t>
      </w:r>
      <w:r>
        <w:rPr>
          <w:rFonts w:hint="eastAsia"/>
          <w:highlight w:val="none"/>
        </w:rPr>
        <w:t>灌浆套筒应符合《钢筋连接用灌浆套筒》JGT 398的要求，灌浆套筒进厂时厂家应出具型式检验报告，进厂应按批验收，并采用匹配的灌浆料制作接头进行工艺复检，并应符合《钢筋套筒灌浆连接应用技术规程》JGJ 355的要求。</w:t>
      </w:r>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b/>
          <w:bCs/>
          <w:kern w:val="0"/>
          <w:szCs w:val="21"/>
          <w:highlight w:val="none"/>
          <w:lang w:bidi="ar"/>
        </w:rPr>
        <w:t xml:space="preserve">  </w:t>
      </w:r>
      <w:r>
        <w:rPr>
          <w:rFonts w:hint="eastAsia"/>
          <w:highlight w:val="none"/>
        </w:rPr>
        <w:t>预埋铝窗框的锚固件的间距应满足设计受力要求。带防雷导线的，防雷导线与铝窗框连接应稳固可靠，电阻小于1Ω。铝窗框进厂应有产品合格证，并包装保护良好。</w:t>
      </w:r>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b/>
          <w:bCs/>
          <w:kern w:val="0"/>
          <w:szCs w:val="21"/>
          <w:highlight w:val="none"/>
          <w:lang w:bidi="ar"/>
        </w:rPr>
        <w:t xml:space="preserve">  </w:t>
      </w:r>
      <w:r>
        <w:rPr>
          <w:rFonts w:hint="eastAsia"/>
          <w:highlight w:val="none"/>
        </w:rPr>
        <w:t>预埋钢副框的型材外表面应采用热浸镀锌防腐处理，应有便于构件生产安装的定位孔，锚筋应满足设计受力要求。进厂应包装保护良好，不应有弯曲变形。</w:t>
      </w:r>
      <w:bookmarkStart w:id="88" w:name="_Toc153205478"/>
      <w:bookmarkStart w:id="89" w:name="_Toc143007008"/>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default" w:ascii="黑体" w:hAnsi="黑体" w:eastAsia="黑体" w:cs="黑体"/>
          <w:b w:val="0"/>
          <w:bCs/>
          <w:kern w:val="2"/>
          <w:sz w:val="21"/>
          <w:szCs w:val="21"/>
          <w:highlight w:val="none"/>
          <w:lang w:val="en-US" w:eastAsia="zh-CN" w:bidi="ar-SA"/>
        </w:rPr>
      </w:pPr>
      <w:bookmarkStart w:id="90" w:name="_Toc17031"/>
      <w:bookmarkStart w:id="91" w:name="_Toc30587"/>
      <w:bookmarkStart w:id="92" w:name="_Toc17000"/>
      <w:r>
        <w:rPr>
          <w:rFonts w:hint="eastAsia" w:ascii="Times New Roman" w:hAnsi="Times New Roman"/>
          <w:sz w:val="21"/>
          <w:szCs w:val="21"/>
          <w:highlight w:val="none"/>
          <w:lang w:val="en-US" w:eastAsia="zh-CN"/>
        </w:rPr>
        <w:t>4</w:t>
      </w:r>
      <w:r>
        <w:rPr>
          <w:rFonts w:hint="eastAsia" w:ascii="宋体" w:hAnsi="宋体" w:eastAsia="宋体"/>
          <w:sz w:val="21"/>
          <w:szCs w:val="21"/>
          <w:highlight w:val="none"/>
        </w:rPr>
        <w:t>.</w:t>
      </w:r>
      <w:r>
        <w:rPr>
          <w:rFonts w:hint="eastAsia" w:ascii="Times New Roman" w:hAnsi="Times New Roman" w:eastAsia="宋体"/>
          <w:sz w:val="21"/>
          <w:szCs w:val="21"/>
          <w:highlight w:val="none"/>
          <w:lang w:val="en-US" w:eastAsia="zh-CN"/>
        </w:rPr>
        <w:t>5</w:t>
      </w:r>
      <w:r>
        <w:rPr>
          <w:rFonts w:hint="eastAsia" w:ascii="黑体" w:hAnsi="黑体" w:eastAsia="黑体" w:cs="黑体"/>
          <w:b w:val="0"/>
          <w:bCs/>
          <w:kern w:val="2"/>
          <w:sz w:val="21"/>
          <w:szCs w:val="21"/>
          <w:highlight w:val="none"/>
          <w:lang w:val="en-US" w:eastAsia="zh-CN" w:bidi="ar-SA"/>
        </w:rPr>
        <w:t xml:space="preserve">  预应力材料</w:t>
      </w:r>
      <w:bookmarkEnd w:id="90"/>
      <w:bookmarkEnd w:id="91"/>
      <w:bookmarkEnd w:id="92"/>
    </w:p>
    <w:bookmarkEnd w:id="44"/>
    <w:bookmarkEnd w:id="45"/>
    <w:bookmarkEnd w:id="46"/>
    <w:bookmarkEnd w:id="47"/>
    <w:bookmarkEnd w:id="48"/>
    <w:bookmarkEnd w:id="49"/>
    <w:bookmarkEnd w:id="88"/>
    <w:bookmarkEnd w:id="89"/>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5</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b/>
          <w:szCs w:val="36"/>
          <w:highlight w:val="none"/>
          <w:lang w:bidi="ar"/>
        </w:rPr>
        <w:t xml:space="preserve">  </w:t>
      </w:r>
      <w:r>
        <w:rPr>
          <w:rFonts w:hint="eastAsia"/>
          <w:highlight w:val="none"/>
        </w:rPr>
        <w:t>预应力钢绞线应符合《预应力混凝土用钢绞线》GBT</w:t>
      </w:r>
      <w:r>
        <w:rPr>
          <w:rFonts w:hint="eastAsia"/>
          <w:highlight w:val="none"/>
          <w:lang w:val="en-US" w:eastAsia="zh-CN"/>
        </w:rPr>
        <w:t xml:space="preserve"> </w:t>
      </w:r>
      <w:r>
        <w:rPr>
          <w:rFonts w:hint="eastAsia"/>
          <w:highlight w:val="none"/>
        </w:rPr>
        <w:t>5224的要求。</w:t>
      </w:r>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5</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szCs w:val="36"/>
          <w:highlight w:val="none"/>
          <w:lang w:bidi="ar"/>
        </w:rPr>
        <w:t xml:space="preserve">  </w:t>
      </w:r>
      <w:r>
        <w:rPr>
          <w:rFonts w:hint="eastAsia"/>
          <w:highlight w:val="none"/>
        </w:rPr>
        <w:t>预应力钢丝应符合《预应力混凝土用钢丝》GBT</w:t>
      </w:r>
      <w:r>
        <w:rPr>
          <w:rFonts w:hint="eastAsia"/>
          <w:highlight w:val="none"/>
          <w:lang w:val="en-US" w:eastAsia="zh-CN"/>
        </w:rPr>
        <w:t xml:space="preserve"> </w:t>
      </w:r>
      <w:r>
        <w:rPr>
          <w:rFonts w:hint="eastAsia"/>
          <w:highlight w:val="none"/>
        </w:rPr>
        <w:t>5223的要求。</w:t>
      </w:r>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5</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szCs w:val="36"/>
          <w:highlight w:val="none"/>
          <w:lang w:bidi="ar"/>
        </w:rPr>
        <w:t xml:space="preserve">  </w:t>
      </w:r>
      <w:bookmarkStart w:id="93" w:name="_Toc117169852"/>
      <w:bookmarkStart w:id="94" w:name="_Toc97737194"/>
      <w:bookmarkStart w:id="95" w:name="_Toc114470657"/>
      <w:bookmarkStart w:id="96" w:name="_Toc116581552"/>
      <w:bookmarkStart w:id="97" w:name="_Toc116895364"/>
      <w:bookmarkStart w:id="98" w:name="_Toc92398310"/>
      <w:r>
        <w:rPr>
          <w:rFonts w:hint="eastAsia"/>
          <w:highlight w:val="none"/>
        </w:rPr>
        <w:t>预应力筋锚具、夹具、连接器应符合《预应力筋用锚具、夹具和连接器》GB</w:t>
      </w:r>
      <w:r>
        <w:rPr>
          <w:rFonts w:hint="eastAsia"/>
          <w:highlight w:val="none"/>
          <w:lang w:val="en-US" w:eastAsia="zh-CN"/>
        </w:rPr>
        <w:t xml:space="preserve"> </w:t>
      </w:r>
      <w:r>
        <w:rPr>
          <w:rFonts w:hint="eastAsia"/>
          <w:highlight w:val="none"/>
        </w:rPr>
        <w:t>14370的要求。</w:t>
      </w:r>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5</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b/>
          <w:bCs/>
          <w:szCs w:val="21"/>
          <w:highlight w:val="none"/>
        </w:rPr>
        <w:t xml:space="preserve"> </w:t>
      </w:r>
      <w:r>
        <w:rPr>
          <w:rFonts w:hint="eastAsia"/>
          <w:b/>
          <w:szCs w:val="36"/>
          <w:highlight w:val="none"/>
          <w:lang w:bidi="ar"/>
        </w:rPr>
        <w:t xml:space="preserve"> </w:t>
      </w:r>
      <w:r>
        <w:rPr>
          <w:rFonts w:hint="eastAsia"/>
          <w:highlight w:val="none"/>
        </w:rPr>
        <w:t>预应力钢丝、钢绞线的表面不应有裂纹和油污等，不应有影响使用性能的拉痕、机械损伤等有害缺陷。</w:t>
      </w:r>
    </w:p>
    <w:bookmarkEnd w:id="93"/>
    <w:bookmarkEnd w:id="94"/>
    <w:bookmarkEnd w:id="95"/>
    <w:bookmarkEnd w:id="96"/>
    <w:bookmarkEnd w:id="97"/>
    <w:bookmarkEnd w:id="98"/>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default" w:ascii="黑体" w:hAnsi="黑体" w:eastAsia="黑体" w:cs="黑体"/>
          <w:b w:val="0"/>
          <w:bCs/>
          <w:kern w:val="2"/>
          <w:sz w:val="21"/>
          <w:szCs w:val="21"/>
          <w:highlight w:val="none"/>
          <w:lang w:val="en-US" w:eastAsia="zh-CN" w:bidi="ar-SA"/>
        </w:rPr>
      </w:pPr>
      <w:bookmarkStart w:id="99" w:name="_Toc20304"/>
      <w:bookmarkStart w:id="100" w:name="_Toc3758"/>
      <w:bookmarkStart w:id="101" w:name="_Toc14953"/>
      <w:r>
        <w:rPr>
          <w:rFonts w:hint="eastAsia" w:ascii="Times New Roman" w:hAnsi="Times New Roman"/>
          <w:sz w:val="21"/>
          <w:szCs w:val="21"/>
          <w:highlight w:val="none"/>
          <w:lang w:val="en-US" w:eastAsia="zh-CN"/>
        </w:rPr>
        <w:t>4</w:t>
      </w:r>
      <w:r>
        <w:rPr>
          <w:rFonts w:hint="eastAsia" w:ascii="宋体" w:hAnsi="宋体" w:eastAsia="宋体"/>
          <w:sz w:val="21"/>
          <w:szCs w:val="21"/>
          <w:highlight w:val="none"/>
        </w:rPr>
        <w:t>.</w:t>
      </w:r>
      <w:r>
        <w:rPr>
          <w:rFonts w:hint="eastAsia" w:ascii="Times New Roman" w:hAnsi="Times New Roman" w:eastAsia="宋体"/>
          <w:sz w:val="21"/>
          <w:szCs w:val="21"/>
          <w:highlight w:val="none"/>
          <w:lang w:val="en-US" w:eastAsia="zh-CN"/>
        </w:rPr>
        <w:t>6</w:t>
      </w:r>
      <w:r>
        <w:rPr>
          <w:rFonts w:hint="eastAsia" w:ascii="黑体" w:hAnsi="黑体" w:eastAsia="黑体" w:cs="黑体"/>
          <w:b w:val="0"/>
          <w:bCs/>
          <w:kern w:val="2"/>
          <w:sz w:val="21"/>
          <w:szCs w:val="21"/>
          <w:highlight w:val="none"/>
          <w:lang w:val="en-US" w:eastAsia="zh-CN" w:bidi="ar-SA"/>
        </w:rPr>
        <w:t xml:space="preserve">  其他材料说明</w:t>
      </w:r>
      <w:bookmarkEnd w:id="99"/>
      <w:bookmarkEnd w:id="100"/>
      <w:bookmarkEnd w:id="101"/>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6</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b/>
          <w:szCs w:val="36"/>
          <w:highlight w:val="none"/>
          <w:lang w:bidi="ar"/>
        </w:rPr>
        <w:t xml:space="preserve">  </w:t>
      </w:r>
      <w:r>
        <w:rPr>
          <w:rFonts w:hint="eastAsia"/>
          <w:highlight w:val="none"/>
        </w:rPr>
        <w:t>预制件中使用的聚苯板的主要性能指标应符合现行国家标准《绝热用模塑聚苯乙烯泡沫塑料》GB/T</w:t>
      </w:r>
      <w:r>
        <w:rPr>
          <w:rFonts w:hint="eastAsia"/>
          <w:highlight w:val="none"/>
          <w:lang w:val="en-US" w:eastAsia="zh-CN"/>
        </w:rPr>
        <w:t xml:space="preserve"> </w:t>
      </w:r>
      <w:r>
        <w:rPr>
          <w:rFonts w:hint="eastAsia"/>
          <w:highlight w:val="none"/>
        </w:rPr>
        <w:t>10801.1和《绝热用挤塑聚苯乙烯泡沫塑料（XPS）》GB/T</w:t>
      </w:r>
      <w:r>
        <w:rPr>
          <w:rFonts w:hint="eastAsia"/>
          <w:highlight w:val="none"/>
          <w:lang w:val="en-US" w:eastAsia="zh-CN"/>
        </w:rPr>
        <w:t xml:space="preserve"> </w:t>
      </w:r>
      <w:r>
        <w:rPr>
          <w:rFonts w:hint="eastAsia"/>
          <w:highlight w:val="none"/>
        </w:rPr>
        <w:t>10801.2的有关规定。</w:t>
      </w:r>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6</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highlight w:val="none"/>
          <w:lang w:bidi="ar"/>
        </w:rPr>
        <w:t xml:space="preserve">  </w:t>
      </w:r>
      <w:r>
        <w:rPr>
          <w:rFonts w:hint="eastAsia"/>
          <w:highlight w:val="none"/>
        </w:rPr>
        <w:t>石材、饰面砖和涂料等外装饰材料的质量应符合国家现行有关标准的规定。</w:t>
      </w:r>
    </w:p>
    <w:p>
      <w:pPr>
        <w:spacing w:line="240" w:lineRule="auto"/>
        <w:rPr>
          <w:rFonts w:hint="eastAsia"/>
          <w:highlight w:val="none"/>
        </w:rPr>
      </w:pPr>
      <w:bookmarkStart w:id="102" w:name="_Toc462409484"/>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6</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szCs w:val="36"/>
          <w:highlight w:val="none"/>
          <w:lang w:bidi="ar"/>
        </w:rPr>
        <w:t xml:space="preserve">  </w:t>
      </w:r>
      <w:r>
        <w:rPr>
          <w:rFonts w:hint="eastAsia"/>
          <w:highlight w:val="none"/>
        </w:rPr>
        <w:t>石材和饰面砖专用粘结材料应符合现行国家标准《饰面石材用胶粘剂》GB 24264的有关规定。</w:t>
      </w:r>
      <w:bookmarkEnd w:id="102"/>
    </w:p>
    <w:p>
      <w:pPr>
        <w:spacing w:line="240" w:lineRule="auto"/>
        <w:rPr>
          <w:rFonts w:hint="eastAsia"/>
          <w:highlight w:val="none"/>
        </w:rPr>
      </w:pPr>
      <w:r>
        <w:rPr>
          <w:rFonts w:hint="eastAsia" w:ascii="Times New Roman" w:hAnsi="Times New Roman" w:eastAsia="宋体" w:cs="Times New Roman"/>
          <w:b/>
          <w:bCs/>
          <w:kern w:val="2"/>
          <w:sz w:val="21"/>
          <w:szCs w:val="21"/>
          <w:highlight w:val="none"/>
          <w:lang w:val="en-US" w:eastAsia="zh-CN" w:bidi="ar-SA"/>
        </w:rPr>
        <w:t>4</w:t>
      </w:r>
      <w:r>
        <w:rPr>
          <w:rFonts w:ascii="宋体" w:hAnsi="宋体"/>
          <w:b/>
          <w:bCs/>
          <w:sz w:val="21"/>
          <w:szCs w:val="21"/>
          <w:highlight w:val="none"/>
        </w:rPr>
        <w:t>.</w:t>
      </w:r>
      <w:r>
        <w:rPr>
          <w:rFonts w:hint="eastAsia" w:cs="Times New Roman"/>
          <w:b/>
          <w:bCs/>
          <w:kern w:val="2"/>
          <w:sz w:val="21"/>
          <w:szCs w:val="21"/>
          <w:highlight w:val="none"/>
          <w:lang w:val="en-US" w:eastAsia="zh-CN" w:bidi="ar-SA"/>
        </w:rPr>
        <w:t>6</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b/>
          <w:szCs w:val="36"/>
          <w:highlight w:val="none"/>
          <w:lang w:bidi="ar"/>
        </w:rPr>
        <w:t xml:space="preserve">  </w:t>
      </w:r>
      <w:r>
        <w:rPr>
          <w:rFonts w:hint="eastAsia"/>
          <w:highlight w:val="none"/>
        </w:rPr>
        <w:t>脱模剂应无毒、无刺激性气味，不应影响混凝土性能和预制混凝土构件表面装饰效果；脱模剂匀质性和施工性能技术指标应符合现行行业标准《混凝土制品用脱模剂》JC/T 949的有关规定。</w:t>
      </w:r>
    </w:p>
    <w:p>
      <w:pPr>
        <w:rPr>
          <w:highlight w:val="none"/>
        </w:rPr>
      </w:pPr>
    </w:p>
    <w:p>
      <w:pPr>
        <w:rPr>
          <w:highlight w:val="none"/>
        </w:rPr>
      </w:pPr>
      <w:r>
        <w:rPr>
          <w:highlight w:val="none"/>
        </w:rPr>
        <w:br w:type="page"/>
      </w:r>
    </w:p>
    <w:p>
      <w:pPr>
        <w:keepNext/>
        <w:keepLines/>
        <w:spacing w:before="360" w:after="360" w:line="240" w:lineRule="auto"/>
        <w:jc w:val="center"/>
        <w:outlineLvl w:val="0"/>
        <w:rPr>
          <w:rStyle w:val="23"/>
          <w:rFonts w:hint="eastAsia" w:ascii="宋体" w:hAnsi="宋体" w:eastAsia="宋体"/>
          <w:b w:val="0"/>
          <w:bCs w:val="0"/>
          <w:sz w:val="28"/>
          <w:szCs w:val="28"/>
          <w:highlight w:val="none"/>
        </w:rPr>
      </w:pPr>
      <w:bookmarkStart w:id="103" w:name="_Toc22974"/>
      <w:bookmarkStart w:id="104" w:name="_Toc9719"/>
      <w:bookmarkStart w:id="105" w:name="_Toc11254"/>
      <w:r>
        <w:rPr>
          <w:rStyle w:val="23"/>
          <w:rFonts w:hint="eastAsia" w:ascii="Times New Roman" w:hAnsi="Times New Roman" w:cs="Times New Roman"/>
          <w:sz w:val="28"/>
          <w:szCs w:val="28"/>
          <w:highlight w:val="none"/>
          <w:lang w:val="en-US" w:eastAsia="zh-CN"/>
        </w:rPr>
        <w:t>5</w:t>
      </w:r>
      <w:r>
        <w:rPr>
          <w:rStyle w:val="23"/>
          <w:rFonts w:hint="eastAsia" w:ascii="宋体" w:hAnsi="宋体" w:eastAsia="宋体"/>
          <w:b w:val="0"/>
          <w:bCs w:val="0"/>
          <w:sz w:val="28"/>
          <w:szCs w:val="28"/>
          <w:highlight w:val="none"/>
        </w:rPr>
        <w:t xml:space="preserve"> </w:t>
      </w:r>
      <w:r>
        <w:rPr>
          <w:rStyle w:val="23"/>
          <w:rFonts w:hint="eastAsia" w:ascii="宋体" w:hAnsi="宋体"/>
          <w:b w:val="0"/>
          <w:bCs w:val="0"/>
          <w:sz w:val="28"/>
          <w:szCs w:val="28"/>
          <w:highlight w:val="none"/>
          <w:lang w:val="en-US" w:eastAsia="zh-CN"/>
        </w:rPr>
        <w:t xml:space="preserve"> </w:t>
      </w:r>
      <w:r>
        <w:rPr>
          <w:rStyle w:val="23"/>
          <w:rFonts w:hint="eastAsia" w:ascii="宋体" w:hAnsi="宋体" w:eastAsia="宋体"/>
          <w:b w:val="0"/>
          <w:bCs w:val="0"/>
          <w:sz w:val="28"/>
          <w:szCs w:val="28"/>
          <w:highlight w:val="none"/>
          <w:lang w:val="en-US" w:eastAsia="zh-CN"/>
        </w:rPr>
        <w:t>模    具</w:t>
      </w:r>
      <w:bookmarkEnd w:id="103"/>
      <w:bookmarkEnd w:id="104"/>
      <w:bookmarkEnd w:id="105"/>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default" w:ascii="黑体" w:hAnsi="黑体" w:cs="宋体" w:eastAsiaTheme="minorEastAsia"/>
          <w:b w:val="0"/>
          <w:bCs w:val="0"/>
          <w:sz w:val="21"/>
          <w:szCs w:val="21"/>
          <w:highlight w:val="none"/>
          <w:lang w:val="en-US" w:eastAsia="zh-CN"/>
        </w:rPr>
      </w:pPr>
      <w:bookmarkStart w:id="106" w:name="_Toc6212"/>
      <w:bookmarkStart w:id="107" w:name="_Toc28401"/>
      <w:bookmarkStart w:id="108" w:name="_Toc28814"/>
      <w:r>
        <w:rPr>
          <w:rFonts w:hint="eastAsia" w:ascii="Times New Roman" w:hAnsi="Times New Roman" w:eastAsia="宋体"/>
          <w:sz w:val="21"/>
          <w:szCs w:val="21"/>
          <w:highlight w:val="none"/>
          <w:lang w:val="en-US" w:eastAsia="zh-CN"/>
        </w:rPr>
        <w:t>5</w:t>
      </w:r>
      <w:r>
        <w:rPr>
          <w:rFonts w:hint="eastAsia" w:ascii="宋体" w:hAnsi="宋体" w:eastAsia="宋体"/>
          <w:sz w:val="21"/>
          <w:szCs w:val="21"/>
          <w:highlight w:val="none"/>
        </w:rPr>
        <w:t>.</w:t>
      </w:r>
      <w:r>
        <w:rPr>
          <w:rFonts w:ascii="Times New Roman" w:hAnsi="Times New Roman"/>
          <w:sz w:val="21"/>
          <w:szCs w:val="21"/>
          <w:highlight w:val="none"/>
        </w:rPr>
        <w:t>1</w:t>
      </w:r>
      <w:r>
        <w:rPr>
          <w:rFonts w:hint="eastAsia" w:ascii="黑体" w:hAnsi="黑体"/>
          <w:b w:val="0"/>
          <w:sz w:val="21"/>
          <w:szCs w:val="21"/>
          <w:highlight w:val="none"/>
        </w:rPr>
        <w:t xml:space="preserve">  </w:t>
      </w:r>
      <w:r>
        <w:rPr>
          <w:rFonts w:hint="eastAsia" w:ascii="黑体" w:hAnsi="黑体" w:eastAsia="黑体"/>
          <w:b w:val="0"/>
          <w:sz w:val="21"/>
          <w:szCs w:val="21"/>
          <w:highlight w:val="none"/>
          <w:lang w:val="en-US" w:eastAsia="zh-CN"/>
        </w:rPr>
        <w:t xml:space="preserve">一 </w:t>
      </w:r>
      <w:r>
        <w:rPr>
          <w:rFonts w:hint="eastAsia" w:ascii="黑体" w:hAnsi="黑体" w:eastAsia="黑体" w:cs="黑体"/>
          <w:b w:val="0"/>
          <w:bCs/>
          <w:kern w:val="2"/>
          <w:sz w:val="21"/>
          <w:szCs w:val="21"/>
          <w:highlight w:val="none"/>
          <w:lang w:val="en-US" w:eastAsia="zh-CN" w:bidi="ar-SA"/>
        </w:rPr>
        <w:t>般 规</w:t>
      </w:r>
      <w:r>
        <w:rPr>
          <w:rFonts w:hint="eastAsia" w:ascii="黑体" w:hAnsi="黑体" w:eastAsia="黑体"/>
          <w:b w:val="0"/>
          <w:sz w:val="21"/>
          <w:szCs w:val="21"/>
          <w:highlight w:val="none"/>
          <w:lang w:val="en-US" w:eastAsia="zh-CN"/>
        </w:rPr>
        <w:t xml:space="preserve"> 定</w:t>
      </w:r>
      <w:bookmarkEnd w:id="106"/>
      <w:bookmarkEnd w:id="107"/>
      <w:bookmarkEnd w:id="108"/>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1</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b/>
          <w:bCs/>
          <w:szCs w:val="21"/>
          <w:highlight w:val="none"/>
        </w:rPr>
        <w:t xml:space="preserve"> </w:t>
      </w:r>
      <w:r>
        <w:rPr>
          <w:rFonts w:hint="eastAsia"/>
          <w:b/>
          <w:szCs w:val="36"/>
          <w:highlight w:val="none"/>
        </w:rPr>
        <w:t xml:space="preserve"> </w:t>
      </w:r>
      <w:r>
        <w:rPr>
          <w:rFonts w:hint="eastAsia"/>
          <w:highlight w:val="none"/>
        </w:rPr>
        <w:t>模具厂家应通过ISO质量认证或建立健全的质量管理制度。</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1</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bCs/>
          <w:highlight w:val="none"/>
        </w:rPr>
        <w:t xml:space="preserve">  </w:t>
      </w:r>
      <w:r>
        <w:rPr>
          <w:rFonts w:hint="eastAsia"/>
          <w:highlight w:val="none"/>
        </w:rPr>
        <w:t>模具应有质量保证资料，包含模具材质证明书、模具设计图、模具检查表等。</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1</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bCs/>
          <w:highlight w:val="none"/>
        </w:rPr>
        <w:t xml:space="preserve">  </w:t>
      </w:r>
      <w:r>
        <w:rPr>
          <w:rFonts w:hint="eastAsia"/>
          <w:highlight w:val="none"/>
        </w:rPr>
        <w:t>模具应有明显标识，包含项目名称、模具编号、生产构件编号等信息。</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1</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b/>
          <w:bCs/>
          <w:highlight w:val="none"/>
        </w:rPr>
        <w:t xml:space="preserve">  </w:t>
      </w:r>
      <w:r>
        <w:rPr>
          <w:rFonts w:hint="eastAsia"/>
          <w:highlight w:val="none"/>
        </w:rPr>
        <w:t>建立模具使用管理制度，包含模具设计图、模具方案、模具检查、模具维护、模具处理等。</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default" w:ascii="黑体" w:hAnsi="黑体" w:eastAsia="黑体"/>
          <w:b w:val="0"/>
          <w:sz w:val="21"/>
          <w:szCs w:val="21"/>
          <w:highlight w:val="none"/>
          <w:lang w:val="en-US" w:eastAsia="zh-CN"/>
        </w:rPr>
      </w:pPr>
      <w:bookmarkStart w:id="109" w:name="_Toc116581555"/>
      <w:bookmarkStart w:id="110" w:name="_Toc143007012"/>
      <w:bookmarkStart w:id="111" w:name="_Toc154586176"/>
      <w:bookmarkStart w:id="112" w:name="_Toc116895367"/>
      <w:bookmarkStart w:id="113" w:name="_Toc117169855"/>
      <w:bookmarkStart w:id="114" w:name="_Toc153205482"/>
      <w:bookmarkStart w:id="115" w:name="_Toc91852625"/>
      <w:bookmarkStart w:id="116" w:name="_Toc9534"/>
      <w:bookmarkStart w:id="117" w:name="_Toc18561"/>
      <w:bookmarkStart w:id="118" w:name="_Toc8548"/>
      <w:r>
        <w:rPr>
          <w:rFonts w:hint="eastAsia" w:ascii="Times New Roman" w:hAnsi="Times New Roman" w:eastAsia="宋体"/>
          <w:sz w:val="21"/>
          <w:szCs w:val="21"/>
          <w:highlight w:val="none"/>
          <w:lang w:val="en-US" w:eastAsia="zh-CN"/>
        </w:rPr>
        <w:t>5</w:t>
      </w:r>
      <w:r>
        <w:rPr>
          <w:rFonts w:hint="eastAsia" w:ascii="宋体" w:hAnsi="宋体" w:eastAsia="宋体"/>
          <w:sz w:val="21"/>
          <w:szCs w:val="21"/>
          <w:highlight w:val="none"/>
          <w:lang w:val="en-US" w:eastAsia="zh-CN"/>
        </w:rPr>
        <w:t>.</w:t>
      </w:r>
      <w:r>
        <w:rPr>
          <w:rFonts w:hint="eastAsia" w:ascii="Times New Roman" w:hAnsi="Times New Roman" w:eastAsia="宋体"/>
          <w:sz w:val="21"/>
          <w:szCs w:val="21"/>
          <w:highlight w:val="none"/>
          <w:lang w:val="en-US" w:eastAsia="zh-CN"/>
        </w:rPr>
        <w:t>2</w:t>
      </w:r>
      <w:bookmarkEnd w:id="109"/>
      <w:bookmarkEnd w:id="110"/>
      <w:bookmarkEnd w:id="111"/>
      <w:bookmarkEnd w:id="112"/>
      <w:bookmarkEnd w:id="113"/>
      <w:bookmarkEnd w:id="114"/>
      <w:bookmarkEnd w:id="115"/>
      <w:r>
        <w:rPr>
          <w:rFonts w:hint="eastAsia" w:ascii="黑体" w:hAnsi="黑体" w:eastAsia="黑体"/>
          <w:b w:val="0"/>
          <w:sz w:val="21"/>
          <w:szCs w:val="21"/>
          <w:highlight w:val="none"/>
          <w:lang w:val="en-US" w:eastAsia="zh-CN"/>
        </w:rPr>
        <w:t xml:space="preserve">  </w:t>
      </w:r>
      <w:r>
        <w:rPr>
          <w:rFonts w:hint="eastAsia" w:ascii="黑体" w:hAnsi="黑体" w:eastAsia="黑体" w:cs="黑体"/>
          <w:b w:val="0"/>
          <w:bCs/>
          <w:kern w:val="2"/>
          <w:sz w:val="21"/>
          <w:szCs w:val="21"/>
          <w:highlight w:val="none"/>
          <w:lang w:val="en-US" w:eastAsia="zh-CN" w:bidi="ar-SA"/>
        </w:rPr>
        <w:t xml:space="preserve">材    </w:t>
      </w:r>
      <w:r>
        <w:rPr>
          <w:rFonts w:hint="eastAsia" w:ascii="黑体" w:hAnsi="黑体" w:eastAsia="黑体"/>
          <w:b w:val="0"/>
          <w:sz w:val="21"/>
          <w:szCs w:val="21"/>
          <w:highlight w:val="none"/>
          <w:lang w:val="en-US" w:eastAsia="zh-CN"/>
        </w:rPr>
        <w:t>料</w:t>
      </w:r>
      <w:bookmarkEnd w:id="116"/>
      <w:bookmarkEnd w:id="117"/>
      <w:bookmarkEnd w:id="118"/>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2</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b/>
          <w:bCs/>
          <w:szCs w:val="21"/>
          <w:highlight w:val="none"/>
        </w:rPr>
        <w:t xml:space="preserve"> </w:t>
      </w:r>
      <w:r>
        <w:rPr>
          <w:rFonts w:hint="eastAsia"/>
          <w:b/>
          <w:bCs/>
          <w:highlight w:val="none"/>
        </w:rPr>
        <w:t xml:space="preserve"> </w:t>
      </w:r>
      <w:r>
        <w:rPr>
          <w:rFonts w:hint="eastAsia"/>
          <w:highlight w:val="none"/>
        </w:rPr>
        <w:t>模具制作材料常见有钢制模具、铝合金模具、塑料模具、橡胶模具、木模具等材质。特殊造型模具也可采用聚苯乙烯、石膏、玻璃钢等材料。</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2</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bCs/>
          <w:highlight w:val="none"/>
        </w:rPr>
        <w:t xml:space="preserve">  </w:t>
      </w:r>
      <w:r>
        <w:rPr>
          <w:rFonts w:hint="eastAsia"/>
          <w:highlight w:val="none"/>
        </w:rPr>
        <w:t>预制混凝土构件模具优先使用钢制模具，也可根据具体情况采用多材质组合模具。</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2</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bCs/>
          <w:highlight w:val="none"/>
        </w:rPr>
        <w:t xml:space="preserve">  </w:t>
      </w:r>
      <w:r>
        <w:rPr>
          <w:rFonts w:hint="eastAsia"/>
          <w:highlight w:val="none"/>
        </w:rPr>
        <w:t>预制混凝土构件模具需考虑循环使用、废旧模具处理等。</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2</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b/>
          <w:bCs/>
          <w:highlight w:val="none"/>
        </w:rPr>
        <w:t xml:space="preserve">  </w:t>
      </w:r>
      <w:r>
        <w:rPr>
          <w:rFonts w:hint="eastAsia"/>
          <w:highlight w:val="none"/>
        </w:rPr>
        <w:t>钢制模具制作主材优先采用平开板，符合行业标准《预制混凝土构件钢模板》JC/T</w:t>
      </w:r>
      <w:r>
        <w:rPr>
          <w:rFonts w:hint="eastAsia"/>
          <w:highlight w:val="none"/>
          <w:lang w:val="en-US" w:eastAsia="zh-CN"/>
        </w:rPr>
        <w:t xml:space="preserve"> </w:t>
      </w:r>
      <w:r>
        <w:rPr>
          <w:rFonts w:hint="eastAsia"/>
          <w:highlight w:val="none"/>
        </w:rPr>
        <w:t>3032等相关标准要求。</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2</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b/>
          <w:bCs/>
          <w:highlight w:val="none"/>
        </w:rPr>
        <w:t xml:space="preserve">  </w:t>
      </w:r>
      <w:r>
        <w:rPr>
          <w:rFonts w:hint="eastAsia"/>
          <w:highlight w:val="none"/>
        </w:rPr>
        <w:t>钢制模具制作中用到的H钢、槽钢、角钢应符合《热轧型钢》GB/T</w:t>
      </w:r>
      <w:r>
        <w:rPr>
          <w:rFonts w:hint="eastAsia"/>
          <w:highlight w:val="none"/>
          <w:lang w:val="en-US" w:eastAsia="zh-CN"/>
        </w:rPr>
        <w:t xml:space="preserve"> </w:t>
      </w:r>
      <w:r>
        <w:rPr>
          <w:rFonts w:hint="eastAsia"/>
          <w:highlight w:val="none"/>
        </w:rPr>
        <w:t>706等国家相关标准。</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119" w:name="_Toc116581556"/>
      <w:bookmarkStart w:id="120" w:name="_Toc154586177"/>
      <w:bookmarkStart w:id="121" w:name="_Toc17749"/>
      <w:bookmarkStart w:id="122" w:name="_Toc21391"/>
      <w:bookmarkStart w:id="123" w:name="_Toc21818"/>
      <w:bookmarkStart w:id="124" w:name="_Toc91852626"/>
      <w:bookmarkStart w:id="125" w:name="_Toc116895368"/>
      <w:bookmarkStart w:id="126" w:name="_Toc153205483"/>
      <w:bookmarkStart w:id="127" w:name="_Toc117169856"/>
      <w:bookmarkStart w:id="128" w:name="_Toc143007013"/>
      <w:r>
        <w:rPr>
          <w:rFonts w:hint="eastAsia" w:ascii="Times New Roman" w:hAnsi="Times New Roman" w:eastAsia="宋体"/>
          <w:sz w:val="21"/>
          <w:szCs w:val="21"/>
          <w:highlight w:val="none"/>
          <w:lang w:val="en-US" w:eastAsia="zh-CN"/>
        </w:rPr>
        <w:t>5</w:t>
      </w:r>
      <w:r>
        <w:rPr>
          <w:rFonts w:hint="eastAsia" w:ascii="宋体" w:hAnsi="宋体" w:eastAsia="宋体"/>
          <w:sz w:val="21"/>
          <w:szCs w:val="21"/>
          <w:highlight w:val="none"/>
          <w:lang w:val="en-US" w:eastAsia="zh-CN"/>
        </w:rPr>
        <w:t>.</w:t>
      </w:r>
      <w:r>
        <w:rPr>
          <w:rFonts w:hint="eastAsia" w:ascii="Times New Roman" w:hAnsi="Times New Roman" w:eastAsia="宋体"/>
          <w:sz w:val="21"/>
          <w:szCs w:val="21"/>
          <w:highlight w:val="none"/>
          <w:lang w:val="en-US" w:eastAsia="zh-CN"/>
        </w:rPr>
        <w:t>3</w:t>
      </w:r>
      <w:r>
        <w:rPr>
          <w:rFonts w:hint="eastAsia" w:ascii="黑体" w:hAnsi="黑体" w:eastAsia="黑体"/>
          <w:b w:val="0"/>
          <w:sz w:val="21"/>
          <w:szCs w:val="21"/>
          <w:highlight w:val="none"/>
          <w:lang w:val="en-US" w:eastAsia="zh-CN"/>
        </w:rPr>
        <w:t xml:space="preserve">  </w:t>
      </w:r>
      <w:r>
        <w:rPr>
          <w:rFonts w:hint="eastAsia" w:ascii="黑体" w:hAnsi="黑体" w:eastAsia="黑体" w:cs="黑体"/>
          <w:b w:val="0"/>
          <w:bCs/>
          <w:kern w:val="2"/>
          <w:sz w:val="21"/>
          <w:szCs w:val="21"/>
          <w:highlight w:val="none"/>
          <w:lang w:val="en-US" w:eastAsia="zh-CN" w:bidi="ar-SA"/>
        </w:rPr>
        <w:t xml:space="preserve">设    </w:t>
      </w:r>
      <w:r>
        <w:rPr>
          <w:rFonts w:hint="eastAsia" w:ascii="黑体" w:hAnsi="黑体" w:eastAsia="黑体"/>
          <w:b w:val="0"/>
          <w:sz w:val="21"/>
          <w:szCs w:val="21"/>
          <w:highlight w:val="none"/>
          <w:lang w:val="en-US" w:eastAsia="zh-CN"/>
        </w:rPr>
        <w:t>计</w:t>
      </w:r>
      <w:bookmarkEnd w:id="119"/>
      <w:bookmarkEnd w:id="120"/>
      <w:bookmarkEnd w:id="121"/>
      <w:bookmarkEnd w:id="122"/>
      <w:bookmarkEnd w:id="123"/>
      <w:bookmarkEnd w:id="124"/>
      <w:bookmarkEnd w:id="125"/>
      <w:bookmarkEnd w:id="126"/>
      <w:bookmarkEnd w:id="127"/>
      <w:bookmarkEnd w:id="128"/>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b/>
          <w:bCs/>
          <w:highlight w:val="none"/>
        </w:rPr>
        <w:t xml:space="preserve">  </w:t>
      </w:r>
      <w:r>
        <w:rPr>
          <w:rFonts w:hint="eastAsia"/>
          <w:highlight w:val="none"/>
        </w:rPr>
        <w:t>预制混凝土构件模具设计应在满足质量要求的基础上兼顾周转次数和经济性原则，合理选用模具材料，以标准化设计、组合式拼装、通用化使用为目标。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bCs/>
          <w:highlight w:val="none"/>
        </w:rPr>
        <w:t xml:space="preserve">  </w:t>
      </w:r>
      <w:r>
        <w:rPr>
          <w:rFonts w:hint="eastAsia"/>
          <w:highlight w:val="none"/>
        </w:rPr>
        <w:t>预制混凝土构件模具需根据预制混凝土构件设计图纸、产品特点、质量要求、生产周期、生产工艺、周转次数等进行深化加工设计，在保证质量基础上，尽可能减轻人工组装的模具重量。</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color w:val="auto"/>
          <w:szCs w:val="21"/>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bCs/>
          <w:highlight w:val="none"/>
        </w:rPr>
        <w:t xml:space="preserve">  </w:t>
      </w:r>
      <w:r>
        <w:rPr>
          <w:rFonts w:hint="eastAsia" w:ascii="Times New Roman" w:hAnsi="Times New Roman" w:eastAsia="宋体" w:cs="Times New Roman"/>
          <w:color w:val="auto"/>
          <w:szCs w:val="21"/>
          <w:highlight w:val="none"/>
        </w:rPr>
        <w:t>预制混凝土构件模具设计阶段宜借助BIM进行模具三维建模、结构稳定性分析、组装分析、生产碰撞分析、模具加工配件表等工作。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b/>
          <w:bCs/>
          <w:highlight w:val="none"/>
        </w:rPr>
        <w:t xml:space="preserve">  </w:t>
      </w:r>
      <w:r>
        <w:rPr>
          <w:rFonts w:hint="eastAsia"/>
          <w:highlight w:val="none"/>
        </w:rPr>
        <w:t>预制混凝土构件模具应具有足够的强度、刚度和整体稳固性，满足预制混凝土构件生产要求。</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b/>
          <w:bCs/>
          <w:highlight w:val="none"/>
        </w:rPr>
        <w:t xml:space="preserve">  </w:t>
      </w:r>
      <w:r>
        <w:rPr>
          <w:rFonts w:hint="eastAsia"/>
          <w:highlight w:val="none"/>
        </w:rPr>
        <w:t>预制混凝土构件模具设计时需充分考虑产品的共用性，在满足生产工期的前提下，提高模具的周转率。</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b/>
          <w:bCs/>
          <w:highlight w:val="none"/>
        </w:rPr>
        <w:t xml:space="preserve"> </w:t>
      </w:r>
      <w:r>
        <w:rPr>
          <w:rFonts w:hint="eastAsia"/>
          <w:b/>
          <w:bCs/>
          <w:highlight w:val="none"/>
          <w:lang w:val="en-US" w:eastAsia="zh-CN"/>
        </w:rPr>
        <w:t xml:space="preserve"> </w:t>
      </w:r>
      <w:r>
        <w:rPr>
          <w:rFonts w:hint="eastAsia"/>
          <w:highlight w:val="none"/>
        </w:rPr>
        <w:t>预制混凝土构件模具应方便装拆，工装配件应标准化、规范化、轻量化。</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b/>
          <w:bCs/>
          <w:highlight w:val="none"/>
        </w:rPr>
        <w:t xml:space="preserve"> </w:t>
      </w:r>
      <w:r>
        <w:rPr>
          <w:rFonts w:hint="eastAsia"/>
          <w:b/>
          <w:bCs/>
          <w:highlight w:val="none"/>
          <w:lang w:val="en-US" w:eastAsia="zh-CN"/>
        </w:rPr>
        <w:t xml:space="preserve"> </w:t>
      </w:r>
      <w:r>
        <w:rPr>
          <w:rFonts w:hint="eastAsia"/>
          <w:highlight w:val="none"/>
        </w:rPr>
        <w:t>预制混凝土构件模具可采用固定式模台或移动式模台，模具与模台可采用螺栓、压码、磁盒等方式固定，安装牢固。</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b/>
          <w:bCs/>
          <w:highlight w:val="none"/>
        </w:rPr>
        <w:t xml:space="preserve"> </w:t>
      </w:r>
      <w:r>
        <w:rPr>
          <w:rFonts w:hint="eastAsia"/>
          <w:b/>
          <w:bCs/>
          <w:highlight w:val="none"/>
          <w:lang w:val="en-US" w:eastAsia="zh-CN"/>
        </w:rPr>
        <w:t xml:space="preserve"> </w:t>
      </w:r>
      <w:r>
        <w:rPr>
          <w:rFonts w:hint="eastAsia"/>
          <w:highlight w:val="none"/>
        </w:rPr>
        <w:t>预制混凝土构件模具宜设置装拆吊装点，预留上下踏板、浇筑操作空间、安全防护措施等。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3</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b/>
          <w:bCs/>
          <w:highlight w:val="none"/>
        </w:rPr>
        <w:t xml:space="preserve"> </w:t>
      </w:r>
      <w:r>
        <w:rPr>
          <w:rFonts w:hint="eastAsia"/>
          <w:b/>
          <w:bCs/>
          <w:highlight w:val="none"/>
          <w:lang w:val="en-US" w:eastAsia="zh-CN"/>
        </w:rPr>
        <w:t xml:space="preserve"> </w:t>
      </w:r>
      <w:r>
        <w:rPr>
          <w:rFonts w:hint="eastAsia"/>
          <w:highlight w:val="none"/>
        </w:rPr>
        <w:t>预制混凝土构件模具应拼装紧密，宜采用胶条等防漏浆措施。</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129" w:name="_Toc91852627"/>
      <w:bookmarkStart w:id="130" w:name="_Toc154586178"/>
      <w:bookmarkStart w:id="131" w:name="_Toc143007014"/>
      <w:bookmarkStart w:id="132" w:name="_Toc116895369"/>
      <w:bookmarkStart w:id="133" w:name="_Toc153205484"/>
      <w:bookmarkStart w:id="134" w:name="_Toc386"/>
      <w:bookmarkStart w:id="135" w:name="_Toc116581557"/>
      <w:bookmarkStart w:id="136" w:name="_Toc6864"/>
      <w:bookmarkStart w:id="137" w:name="_Toc15702"/>
      <w:bookmarkStart w:id="138" w:name="_Toc117169857"/>
      <w:r>
        <w:rPr>
          <w:rFonts w:hint="eastAsia" w:ascii="Times New Roman" w:hAnsi="Times New Roman" w:eastAsia="宋体"/>
          <w:sz w:val="21"/>
          <w:szCs w:val="21"/>
          <w:highlight w:val="none"/>
          <w:lang w:val="en-US" w:eastAsia="zh-CN"/>
        </w:rPr>
        <w:t>5</w:t>
      </w:r>
      <w:r>
        <w:rPr>
          <w:rFonts w:hint="eastAsia" w:ascii="宋体" w:hAnsi="宋体" w:eastAsia="宋体"/>
          <w:sz w:val="21"/>
          <w:szCs w:val="21"/>
          <w:highlight w:val="none"/>
          <w:lang w:val="en-US" w:eastAsia="zh-CN"/>
        </w:rPr>
        <w:t>.</w:t>
      </w:r>
      <w:r>
        <w:rPr>
          <w:rFonts w:hint="eastAsia" w:ascii="Times New Roman" w:hAnsi="Times New Roman" w:eastAsia="宋体"/>
          <w:sz w:val="21"/>
          <w:szCs w:val="21"/>
          <w:highlight w:val="none"/>
          <w:lang w:val="en-US" w:eastAsia="zh-CN"/>
        </w:rPr>
        <w:t>4</w:t>
      </w:r>
      <w:r>
        <w:rPr>
          <w:rFonts w:hint="eastAsia" w:ascii="黑体" w:hAnsi="黑体" w:eastAsia="黑体"/>
          <w:b w:val="0"/>
          <w:sz w:val="21"/>
          <w:szCs w:val="21"/>
          <w:highlight w:val="none"/>
          <w:lang w:val="en-US" w:eastAsia="zh-CN"/>
        </w:rPr>
        <w:t xml:space="preserve">  制作与</w:t>
      </w:r>
      <w:bookmarkEnd w:id="129"/>
      <w:r>
        <w:rPr>
          <w:rFonts w:hint="eastAsia" w:ascii="黑体" w:hAnsi="黑体" w:eastAsia="黑体"/>
          <w:b w:val="0"/>
          <w:sz w:val="21"/>
          <w:szCs w:val="21"/>
          <w:highlight w:val="none"/>
          <w:lang w:val="en-US" w:eastAsia="zh-CN"/>
        </w:rPr>
        <w:t>检验</w:t>
      </w:r>
      <w:bookmarkEnd w:id="130"/>
      <w:bookmarkEnd w:id="131"/>
      <w:bookmarkEnd w:id="132"/>
      <w:bookmarkEnd w:id="133"/>
      <w:bookmarkEnd w:id="134"/>
      <w:bookmarkEnd w:id="135"/>
      <w:bookmarkEnd w:id="136"/>
      <w:bookmarkEnd w:id="137"/>
      <w:bookmarkEnd w:id="138"/>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b/>
          <w:bCs/>
          <w:highlight w:val="none"/>
        </w:rPr>
        <w:t xml:space="preserve">  </w:t>
      </w:r>
      <w:r>
        <w:rPr>
          <w:rFonts w:hint="eastAsia"/>
          <w:highlight w:val="none"/>
        </w:rPr>
        <w:t>模具制作时宜按模具深化加工图优先采用激光切割机下料，提高精度。</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bCs/>
          <w:highlight w:val="none"/>
        </w:rPr>
        <w:t xml:space="preserve">  </w:t>
      </w:r>
      <w:r>
        <w:rPr>
          <w:rFonts w:hint="eastAsia"/>
          <w:highlight w:val="none"/>
        </w:rPr>
        <w:t>模具制作时各部分的连接应准确、密拼、无错台、平整度高、定位准确，焊接牢固，不少焊、虚焊、焊穿等。</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bCs/>
          <w:szCs w:val="21"/>
          <w:highlight w:val="none"/>
        </w:rPr>
        <w:t xml:space="preserve"> </w:t>
      </w:r>
      <w:r>
        <w:rPr>
          <w:rFonts w:hint="eastAsia"/>
          <w:b/>
          <w:bCs/>
          <w:highlight w:val="none"/>
        </w:rPr>
        <w:t xml:space="preserve"> </w:t>
      </w:r>
      <w:r>
        <w:rPr>
          <w:rFonts w:hint="eastAsia"/>
          <w:highlight w:val="none"/>
        </w:rPr>
        <w:t>模具组装完成后，表面应平整光滑，不能有明显划痕、锈迹等。</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4</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b/>
          <w:bCs/>
          <w:highlight w:val="none"/>
        </w:rPr>
        <w:t xml:space="preserve">  </w:t>
      </w:r>
      <w:r>
        <w:rPr>
          <w:rFonts w:hint="eastAsia"/>
          <w:highlight w:val="none"/>
        </w:rPr>
        <w:t>模具模板的平整度、弯曲、拼装缝隙、几何尺寸等应满足相关设计要求，允许偏差及检验方法应符合表5.4.7要求。</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bCs/>
          <w:highlight w:val="none"/>
        </w:rPr>
      </w:pP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5</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4</w:t>
      </w:r>
      <w:r>
        <w:rPr>
          <w:rFonts w:hint="default"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7</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预制混凝土构件模</w:t>
      </w:r>
      <w:r>
        <w:rPr>
          <w:rFonts w:hint="eastAsia" w:ascii="黑体" w:hAnsi="黑体" w:eastAsia="黑体" w:cs="黑体"/>
          <w:bCs/>
          <w:sz w:val="18"/>
          <w:szCs w:val="18"/>
          <w:highlight w:val="none"/>
        </w:rPr>
        <w:t>具几何尺寸允许偏差和检验方法</w:t>
      </w:r>
    </w:p>
    <w:tbl>
      <w:tblPr>
        <w:tblStyle w:val="12"/>
        <w:tblW w:w="4998" w:type="pct"/>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1" w:type="dxa"/>
          <w:bottom w:w="0" w:type="dxa"/>
          <w:right w:w="11" w:type="dxa"/>
        </w:tblCellMar>
      </w:tblPr>
      <w:tblGrid>
        <w:gridCol w:w="1176"/>
        <w:gridCol w:w="1106"/>
        <w:gridCol w:w="461"/>
        <w:gridCol w:w="1223"/>
        <w:gridCol w:w="1496"/>
        <w:gridCol w:w="3828"/>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662" w:hRule="atLeast"/>
          <w:tblHeader/>
          <w:jc w:val="center"/>
        </w:trPr>
        <w:tc>
          <w:tcPr>
            <w:tcW w:w="633" w:type="pct"/>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项次</w:t>
            </w:r>
          </w:p>
        </w:tc>
        <w:tc>
          <w:tcPr>
            <w:tcW w:w="1501" w:type="pct"/>
            <w:gridSpan w:val="3"/>
            <w:tcBorders>
              <w:tl2br w:val="nil"/>
              <w:tr2bl w:val="nil"/>
            </w:tcBorders>
            <w:vAlign w:val="center"/>
          </w:tcPr>
          <w:p>
            <w:pPr>
              <w:tabs>
                <w:tab w:val="left" w:pos="652"/>
              </w:tabs>
              <w:adjustRightInd w:val="0"/>
              <w:snapToGrid w:val="0"/>
              <w:spacing w:line="240" w:lineRule="auto"/>
              <w:ind w:firstLine="360"/>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项目</w:t>
            </w:r>
          </w:p>
        </w:tc>
        <w:tc>
          <w:tcPr>
            <w:tcW w:w="805" w:type="pct"/>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允许偏差（mm）</w:t>
            </w:r>
          </w:p>
        </w:tc>
        <w:tc>
          <w:tcPr>
            <w:tcW w:w="2060" w:type="pct"/>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检验方法</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vMerge w:val="restar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w:t>
            </w:r>
          </w:p>
        </w:tc>
        <w:tc>
          <w:tcPr>
            <w:tcW w:w="595" w:type="pct"/>
            <w:vMerge w:val="restart"/>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长度</w:t>
            </w:r>
          </w:p>
        </w:tc>
        <w:tc>
          <w:tcPr>
            <w:tcW w:w="905" w:type="pct"/>
            <w:gridSpan w:val="2"/>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≤6m</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1，-2</w:t>
            </w:r>
          </w:p>
        </w:tc>
        <w:tc>
          <w:tcPr>
            <w:tcW w:w="2060" w:type="pct"/>
            <w:vMerge w:val="restar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用尺量平行构件高度方向，取其中偏差绝对值较大处</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vMerge w:val="continue"/>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p>
        </w:tc>
        <w:tc>
          <w:tcPr>
            <w:tcW w:w="595" w:type="pct"/>
            <w:vMerge w:val="continue"/>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p>
        </w:tc>
        <w:tc>
          <w:tcPr>
            <w:tcW w:w="905" w:type="pct"/>
            <w:gridSpan w:val="2"/>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&gt;6m且≤12m</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2，-4</w:t>
            </w:r>
          </w:p>
        </w:tc>
        <w:tc>
          <w:tcPr>
            <w:tcW w:w="2060" w:type="pct"/>
            <w:vMerge w:val="continue"/>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vMerge w:val="continue"/>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p>
        </w:tc>
        <w:tc>
          <w:tcPr>
            <w:tcW w:w="595" w:type="pct"/>
            <w:vMerge w:val="continue"/>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p>
        </w:tc>
        <w:tc>
          <w:tcPr>
            <w:tcW w:w="905" w:type="pct"/>
            <w:gridSpan w:val="2"/>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&gt;12m</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3，-5</w:t>
            </w:r>
          </w:p>
        </w:tc>
        <w:tc>
          <w:tcPr>
            <w:tcW w:w="2060" w:type="pct"/>
            <w:vMerge w:val="continue"/>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w:t>
            </w:r>
          </w:p>
        </w:tc>
        <w:tc>
          <w:tcPr>
            <w:tcW w:w="843" w:type="pct"/>
            <w:gridSpan w:val="2"/>
            <w:vMerge w:val="restart"/>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宽度、高（厚）度</w:t>
            </w:r>
          </w:p>
        </w:tc>
        <w:tc>
          <w:tcPr>
            <w:tcW w:w="657" w:type="pct"/>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墙板</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1，-2</w:t>
            </w:r>
          </w:p>
        </w:tc>
        <w:tc>
          <w:tcPr>
            <w:tcW w:w="2060" w:type="pct"/>
            <w:vMerge w:val="restar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用尺测量两端或中部，取其中偏差绝对值较大处</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w:t>
            </w:r>
          </w:p>
        </w:tc>
        <w:tc>
          <w:tcPr>
            <w:tcW w:w="843" w:type="pct"/>
            <w:gridSpan w:val="2"/>
            <w:vMerge w:val="continue"/>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p>
        </w:tc>
        <w:tc>
          <w:tcPr>
            <w:tcW w:w="657" w:type="pct"/>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其他构件</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2，-4</w:t>
            </w:r>
          </w:p>
        </w:tc>
        <w:tc>
          <w:tcPr>
            <w:tcW w:w="2060" w:type="pct"/>
            <w:vMerge w:val="continue"/>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w:t>
            </w:r>
          </w:p>
        </w:tc>
        <w:tc>
          <w:tcPr>
            <w:tcW w:w="1501" w:type="pct"/>
            <w:gridSpan w:val="3"/>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对角线差</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3</w:t>
            </w:r>
          </w:p>
        </w:tc>
        <w:tc>
          <w:tcPr>
            <w:tcW w:w="2060"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用尺量对角线</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5</w:t>
            </w:r>
          </w:p>
        </w:tc>
        <w:tc>
          <w:tcPr>
            <w:tcW w:w="1501" w:type="pct"/>
            <w:gridSpan w:val="3"/>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侧向弯曲</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L/1500，且≤5</w:t>
            </w:r>
          </w:p>
        </w:tc>
        <w:tc>
          <w:tcPr>
            <w:tcW w:w="2060"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拉线，钢角尺测量弯曲最大处</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6</w:t>
            </w:r>
          </w:p>
        </w:tc>
        <w:tc>
          <w:tcPr>
            <w:tcW w:w="1501" w:type="pct"/>
            <w:gridSpan w:val="3"/>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翘曲</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L/1500</w:t>
            </w:r>
          </w:p>
        </w:tc>
        <w:tc>
          <w:tcPr>
            <w:tcW w:w="2060"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对角拉线测量交点间距离值的两倍</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7</w:t>
            </w:r>
          </w:p>
        </w:tc>
        <w:tc>
          <w:tcPr>
            <w:tcW w:w="1501" w:type="pct"/>
            <w:gridSpan w:val="3"/>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底模板表面平整度</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2</w:t>
            </w:r>
          </w:p>
        </w:tc>
        <w:tc>
          <w:tcPr>
            <w:tcW w:w="2060"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用2m靠尺和塞尺测量</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8</w:t>
            </w:r>
          </w:p>
        </w:tc>
        <w:tc>
          <w:tcPr>
            <w:tcW w:w="1501" w:type="pct"/>
            <w:gridSpan w:val="3"/>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拼装缝隙</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1</w:t>
            </w:r>
          </w:p>
        </w:tc>
        <w:tc>
          <w:tcPr>
            <w:tcW w:w="2060"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用塞片或塞尺量，取最大值</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trHeight w:val="384" w:hRule="atLeast"/>
          <w:tblHeader/>
          <w:jc w:val="center"/>
        </w:trPr>
        <w:tc>
          <w:tcPr>
            <w:tcW w:w="633"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9</w:t>
            </w:r>
          </w:p>
        </w:tc>
        <w:tc>
          <w:tcPr>
            <w:tcW w:w="1501" w:type="pct"/>
            <w:gridSpan w:val="3"/>
            <w:tcBorders>
              <w:tl2br w:val="nil"/>
              <w:tr2bl w:val="nil"/>
            </w:tcBorders>
            <w:vAlign w:val="center"/>
          </w:tcPr>
          <w:p>
            <w:pPr>
              <w:tabs>
                <w:tab w:val="left" w:pos="652"/>
              </w:tabs>
              <w:adjustRightInd w:val="0"/>
              <w:snapToGrid w:val="0"/>
              <w:spacing w:line="240" w:lineRule="auto"/>
              <w:jc w:val="center"/>
              <w:rPr>
                <w:rFonts w:hint="eastAsia" w:ascii="宋体" w:hAnsi="宋体" w:eastAsia="宋体" w:cs="宋体"/>
                <w:sz w:val="15"/>
                <w:szCs w:val="15"/>
                <w:highlight w:val="none"/>
              </w:rPr>
            </w:pPr>
            <w:r>
              <w:rPr>
                <w:rFonts w:hint="eastAsia" w:ascii="宋体" w:hAnsi="宋体" w:eastAsia="宋体" w:cs="宋体"/>
                <w:sz w:val="15"/>
                <w:szCs w:val="15"/>
                <w:highlight w:val="none"/>
              </w:rPr>
              <w:t>错台</w:t>
            </w:r>
          </w:p>
        </w:tc>
        <w:tc>
          <w:tcPr>
            <w:tcW w:w="805" w:type="pct"/>
            <w:tcBorders>
              <w:tl2br w:val="nil"/>
              <w:tr2bl w:val="nil"/>
            </w:tcBorders>
            <w:vAlign w:val="center"/>
          </w:tcPr>
          <w:p>
            <w:pPr>
              <w:tabs>
                <w:tab w:val="left" w:pos="652"/>
              </w:tabs>
              <w:adjustRightInd w:val="0"/>
              <w:snapToGrid w:val="0"/>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1</w:t>
            </w:r>
          </w:p>
        </w:tc>
        <w:tc>
          <w:tcPr>
            <w:tcW w:w="2060" w:type="pct"/>
            <w:tcBorders>
              <w:tl2br w:val="nil"/>
              <w:tr2bl w:val="nil"/>
            </w:tcBorders>
            <w:vAlign w:val="center"/>
          </w:tcPr>
          <w:p>
            <w:pPr>
              <w:tabs>
                <w:tab w:val="left" w:pos="652"/>
              </w:tabs>
              <w:adjustRightInd w:val="0"/>
              <w:snapToGrid w:val="0"/>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钢角尺量测</w:t>
            </w:r>
          </w:p>
        </w:tc>
      </w:tr>
    </w:tbl>
    <w:p>
      <w:pPr>
        <w:spacing w:line="240" w:lineRule="auto"/>
        <w:ind w:firstLine="380" w:firstLineChars="200"/>
        <w:jc w:val="left"/>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注：</w:t>
      </w:r>
      <w:r>
        <w:rPr>
          <w:rFonts w:hint="default" w:ascii="Times New Roman" w:hAnsi="Times New Roman" w:eastAsia="宋体" w:cs="Times New Roman"/>
          <w:sz w:val="18"/>
          <w:szCs w:val="18"/>
          <w:highlight w:val="none"/>
        </w:rPr>
        <w:t>L</w:t>
      </w:r>
      <w:r>
        <w:rPr>
          <w:rFonts w:hint="eastAsia" w:ascii="宋体" w:hAnsi="宋体" w:eastAsia="宋体" w:cs="宋体"/>
          <w:sz w:val="18"/>
          <w:szCs w:val="18"/>
          <w:highlight w:val="none"/>
        </w:rPr>
        <w:t>为模具与混凝土接触面中最长边的尺寸</w:t>
      </w:r>
      <w:r>
        <w:rPr>
          <w:rFonts w:hint="eastAsia" w:ascii="宋体" w:hAnsi="宋体" w:cs="宋体"/>
          <w:sz w:val="18"/>
          <w:szCs w:val="18"/>
          <w:highlight w:val="none"/>
          <w:lang w:eastAsia="zh-CN"/>
        </w:rPr>
        <w:t>。</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139" w:name="_Toc153205485"/>
      <w:bookmarkStart w:id="140" w:name="_Toc116895370"/>
      <w:bookmarkStart w:id="141" w:name="_Toc154586179"/>
      <w:bookmarkStart w:id="142" w:name="_Toc19036"/>
      <w:bookmarkStart w:id="143" w:name="_Toc117169858"/>
      <w:bookmarkStart w:id="144" w:name="_Toc143007015"/>
      <w:bookmarkStart w:id="145" w:name="_Toc116581558"/>
      <w:bookmarkStart w:id="146" w:name="_Toc25342"/>
      <w:bookmarkStart w:id="147" w:name="_Toc10441"/>
      <w:r>
        <w:rPr>
          <w:rFonts w:hint="eastAsia" w:ascii="Times New Roman" w:hAnsi="Times New Roman" w:eastAsia="宋体"/>
          <w:sz w:val="21"/>
          <w:szCs w:val="21"/>
          <w:highlight w:val="none"/>
          <w:lang w:val="en-US" w:eastAsia="zh-CN"/>
        </w:rPr>
        <w:t>5</w:t>
      </w:r>
      <w:r>
        <w:rPr>
          <w:rFonts w:hint="eastAsia" w:ascii="宋体" w:hAnsi="宋体" w:eastAsia="宋体"/>
          <w:sz w:val="21"/>
          <w:szCs w:val="21"/>
          <w:highlight w:val="none"/>
          <w:lang w:val="en-US" w:eastAsia="zh-CN"/>
        </w:rPr>
        <w:t>.</w:t>
      </w:r>
      <w:r>
        <w:rPr>
          <w:rFonts w:hint="eastAsia" w:ascii="Times New Roman" w:hAnsi="Times New Roman" w:eastAsia="宋体"/>
          <w:sz w:val="21"/>
          <w:szCs w:val="21"/>
          <w:highlight w:val="none"/>
          <w:lang w:val="en-US" w:eastAsia="zh-CN"/>
        </w:rPr>
        <w:t>5</w:t>
      </w:r>
      <w:r>
        <w:rPr>
          <w:rFonts w:hint="eastAsia" w:ascii="黑体" w:hAnsi="黑体" w:eastAsia="黑体"/>
          <w:b w:val="0"/>
          <w:sz w:val="21"/>
          <w:szCs w:val="21"/>
          <w:highlight w:val="none"/>
          <w:lang w:val="en-US" w:eastAsia="zh-CN"/>
        </w:rPr>
        <w:t xml:space="preserve">  </w:t>
      </w:r>
      <w:r>
        <w:rPr>
          <w:rFonts w:hint="eastAsia" w:ascii="黑体" w:hAnsi="黑体" w:eastAsia="黑体" w:cs="黑体"/>
          <w:b w:val="0"/>
          <w:bCs/>
          <w:kern w:val="2"/>
          <w:sz w:val="21"/>
          <w:szCs w:val="21"/>
          <w:highlight w:val="none"/>
          <w:lang w:val="en-US" w:eastAsia="zh-CN" w:bidi="ar-SA"/>
        </w:rPr>
        <w:t xml:space="preserve">运    </w:t>
      </w:r>
      <w:r>
        <w:rPr>
          <w:rFonts w:hint="eastAsia" w:ascii="黑体" w:hAnsi="黑体" w:eastAsia="黑体"/>
          <w:b w:val="0"/>
          <w:sz w:val="21"/>
          <w:szCs w:val="21"/>
          <w:highlight w:val="none"/>
          <w:lang w:val="en-US" w:eastAsia="zh-CN"/>
        </w:rPr>
        <w:t>输</w:t>
      </w:r>
      <w:bookmarkEnd w:id="139"/>
      <w:bookmarkEnd w:id="140"/>
      <w:bookmarkEnd w:id="141"/>
      <w:bookmarkEnd w:id="142"/>
      <w:bookmarkEnd w:id="143"/>
      <w:bookmarkEnd w:id="144"/>
      <w:bookmarkEnd w:id="145"/>
      <w:bookmarkEnd w:id="146"/>
      <w:bookmarkEnd w:id="147"/>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5</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b/>
          <w:bCs/>
          <w:highlight w:val="none"/>
        </w:rPr>
        <w:t xml:space="preserve">  </w:t>
      </w:r>
      <w:r>
        <w:rPr>
          <w:rFonts w:hint="eastAsia"/>
          <w:highlight w:val="none"/>
        </w:rPr>
        <w:t>模具在运输前应制定运输方案，对超限模具应做好安全措施。</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5</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bCs/>
          <w:highlight w:val="none"/>
        </w:rPr>
        <w:t xml:space="preserve">  </w:t>
      </w:r>
      <w:r>
        <w:rPr>
          <w:rFonts w:hint="eastAsia"/>
          <w:highlight w:val="none"/>
        </w:rPr>
        <w:t>独立模具宜在模具厂内组装完成后整体运输，组合模具可运至构件厂进行二次组装，其它模具应分类打包运输。</w:t>
      </w:r>
    </w:p>
    <w:p>
      <w:pPr>
        <w:spacing w:line="240" w:lineRule="auto"/>
        <w:rPr>
          <w:bCs/>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5</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bCs/>
          <w:highlight w:val="none"/>
        </w:rPr>
        <w:t xml:space="preserve">  </w:t>
      </w:r>
      <w:r>
        <w:rPr>
          <w:rFonts w:hint="eastAsia"/>
          <w:highlight w:val="none"/>
        </w:rPr>
        <w:t>模具在运输过程中应当用绑带固定在车板上，防止在运输过程中因模具滑动、碰撞等引起掉落、划痕、变形等问题。</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148" w:name="_Toc91852629"/>
      <w:bookmarkStart w:id="149" w:name="_Toc117169859"/>
      <w:bookmarkStart w:id="150" w:name="_Toc153205486"/>
      <w:bookmarkStart w:id="151" w:name="_Toc116895371"/>
      <w:bookmarkStart w:id="152" w:name="_Toc30719"/>
      <w:bookmarkStart w:id="153" w:name="_Toc116581559"/>
      <w:bookmarkStart w:id="154" w:name="_Toc154586180"/>
      <w:bookmarkStart w:id="155" w:name="_Toc12924"/>
      <w:bookmarkStart w:id="156" w:name="_Toc143007016"/>
      <w:bookmarkStart w:id="157" w:name="_Toc12092"/>
      <w:r>
        <w:rPr>
          <w:rFonts w:hint="eastAsia" w:ascii="Times New Roman" w:hAnsi="Times New Roman" w:eastAsia="宋体"/>
          <w:sz w:val="21"/>
          <w:szCs w:val="21"/>
          <w:highlight w:val="none"/>
          <w:lang w:val="en-US" w:eastAsia="zh-CN"/>
        </w:rPr>
        <w:t>5</w:t>
      </w:r>
      <w:r>
        <w:rPr>
          <w:rFonts w:hint="eastAsia" w:ascii="宋体" w:hAnsi="宋体" w:eastAsia="宋体"/>
          <w:sz w:val="21"/>
          <w:szCs w:val="21"/>
          <w:highlight w:val="none"/>
          <w:lang w:val="en-US" w:eastAsia="zh-CN"/>
        </w:rPr>
        <w:t>.</w:t>
      </w:r>
      <w:r>
        <w:rPr>
          <w:rFonts w:hint="eastAsia" w:ascii="Times New Roman" w:hAnsi="Times New Roman" w:eastAsia="宋体"/>
          <w:sz w:val="21"/>
          <w:szCs w:val="21"/>
          <w:highlight w:val="none"/>
          <w:lang w:val="en-US" w:eastAsia="zh-CN"/>
        </w:rPr>
        <w:t>6</w:t>
      </w:r>
      <w:r>
        <w:rPr>
          <w:rFonts w:hint="eastAsia" w:ascii="黑体" w:hAnsi="黑体" w:eastAsia="黑体"/>
          <w:b w:val="0"/>
          <w:sz w:val="21"/>
          <w:szCs w:val="21"/>
          <w:highlight w:val="none"/>
          <w:lang w:val="en-US" w:eastAsia="zh-CN"/>
        </w:rPr>
        <w:t xml:space="preserve">  检查</w:t>
      </w:r>
      <w:bookmarkEnd w:id="148"/>
      <w:r>
        <w:rPr>
          <w:rFonts w:hint="eastAsia" w:ascii="黑体" w:hAnsi="黑体" w:eastAsia="黑体"/>
          <w:b w:val="0"/>
          <w:sz w:val="21"/>
          <w:szCs w:val="21"/>
          <w:highlight w:val="none"/>
          <w:lang w:val="en-US" w:eastAsia="zh-CN"/>
        </w:rPr>
        <w:t>与维护</w:t>
      </w:r>
      <w:bookmarkEnd w:id="149"/>
      <w:bookmarkEnd w:id="150"/>
      <w:bookmarkEnd w:id="151"/>
      <w:bookmarkEnd w:id="152"/>
      <w:bookmarkEnd w:id="153"/>
      <w:bookmarkEnd w:id="154"/>
      <w:bookmarkEnd w:id="155"/>
      <w:bookmarkEnd w:id="156"/>
      <w:bookmarkEnd w:id="157"/>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6</w:t>
      </w:r>
      <w:r>
        <w:rPr>
          <w:rFonts w:ascii="宋体" w:hAnsi="宋体" w:eastAsia="宋体" w:cstheme="minorBidi"/>
          <w:b/>
          <w:bCs/>
          <w:kern w:val="2"/>
          <w:sz w:val="21"/>
          <w:szCs w:val="21"/>
          <w:highlight w:val="none"/>
          <w:lang w:val="en-US" w:eastAsia="zh-CN" w:bidi="ar-SA"/>
        </w:rPr>
        <w:t>.</w:t>
      </w:r>
      <w:r>
        <w:rPr>
          <w:rFonts w:hint="eastAsia" w:ascii="Times New Roman" w:hAnsi="Times New Roman" w:eastAsia="宋体" w:cs="Times New Roman"/>
          <w:b/>
          <w:bCs/>
          <w:kern w:val="2"/>
          <w:sz w:val="21"/>
          <w:szCs w:val="21"/>
          <w:highlight w:val="none"/>
          <w:lang w:val="en-US" w:eastAsia="zh-CN" w:bidi="ar-SA"/>
        </w:rPr>
        <w:t>1</w:t>
      </w:r>
      <w:r>
        <w:rPr>
          <w:rFonts w:hint="eastAsia"/>
          <w:b/>
          <w:bCs/>
          <w:highlight w:val="none"/>
        </w:rPr>
        <w:t xml:space="preserve">  </w:t>
      </w:r>
      <w:r>
        <w:rPr>
          <w:rFonts w:hint="eastAsia"/>
          <w:highlight w:val="none"/>
        </w:rPr>
        <w:t>建立模具检查制度，制定检查具体指标与频率。</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6</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bCs/>
          <w:highlight w:val="none"/>
        </w:rPr>
        <w:t xml:space="preserve">  </w:t>
      </w:r>
      <w:r>
        <w:rPr>
          <w:rFonts w:hint="eastAsia"/>
          <w:highlight w:val="none"/>
        </w:rPr>
        <w:t>定期检查模具的安装水平、面板平整度、尺寸、预埋、孔位等主要指标。</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6</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bCs/>
          <w:highlight w:val="none"/>
        </w:rPr>
        <w:t xml:space="preserve">  </w:t>
      </w:r>
      <w:r>
        <w:rPr>
          <w:rFonts w:hint="eastAsia"/>
          <w:highlight w:val="none"/>
        </w:rPr>
        <w:t>检查预制混凝土构件产品质量，监控模具在生产运营中的质量情况。</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6</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b/>
          <w:bCs/>
          <w:highlight w:val="none"/>
        </w:rPr>
        <w:t xml:space="preserve">  </w:t>
      </w:r>
      <w:r>
        <w:rPr>
          <w:rFonts w:hint="eastAsia"/>
          <w:highlight w:val="none"/>
        </w:rPr>
        <w:t>生产中的模具应用前检查与维护，无生产任务的模具应组装好摆放。</w:t>
      </w:r>
    </w:p>
    <w:p>
      <w:pPr>
        <w:spacing w:line="240" w:lineRule="auto"/>
        <w:rPr>
          <w:rFonts w:hint="eastAsia"/>
          <w:highlight w:val="none"/>
        </w:rPr>
      </w:pPr>
      <w:r>
        <w:rPr>
          <w:rFonts w:hint="eastAsia" w:cs="Times New Roman"/>
          <w:b/>
          <w:bCs/>
          <w:kern w:val="2"/>
          <w:sz w:val="21"/>
          <w:szCs w:val="21"/>
          <w:highlight w:val="none"/>
          <w:lang w:val="en-US" w:eastAsia="zh-CN" w:bidi="ar-SA"/>
        </w:rPr>
        <w:t>5</w:t>
      </w:r>
      <w:r>
        <w:rPr>
          <w:rFonts w:ascii="宋体" w:hAnsi="宋体"/>
          <w:b/>
          <w:bCs/>
          <w:sz w:val="21"/>
          <w:szCs w:val="21"/>
          <w:highlight w:val="none"/>
        </w:rPr>
        <w:t>.</w:t>
      </w:r>
      <w:r>
        <w:rPr>
          <w:rFonts w:hint="eastAsia" w:cs="Times New Roman"/>
          <w:b/>
          <w:bCs/>
          <w:kern w:val="2"/>
          <w:sz w:val="21"/>
          <w:szCs w:val="21"/>
          <w:highlight w:val="none"/>
          <w:lang w:val="en-US" w:eastAsia="zh-CN" w:bidi="ar-SA"/>
        </w:rPr>
        <w:t>6</w:t>
      </w:r>
      <w:r>
        <w:rPr>
          <w:rFonts w:ascii="宋体" w:hAnsi="宋体" w:eastAsia="宋体" w:cstheme="minorBidi"/>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b/>
          <w:bCs/>
          <w:highlight w:val="none"/>
        </w:rPr>
        <w:t xml:space="preserve">  </w:t>
      </w:r>
      <w:r>
        <w:rPr>
          <w:rFonts w:hint="eastAsia"/>
          <w:highlight w:val="none"/>
        </w:rPr>
        <w:t>模具经检查不符合使用和质量要求时，应进行维修，无法维修时应报废处理</w:t>
      </w:r>
    </w:p>
    <w:p>
      <w:pPr>
        <w:tabs>
          <w:tab w:val="left" w:pos="652"/>
        </w:tabs>
        <w:adjustRightInd w:val="0"/>
        <w:snapToGrid w:val="0"/>
        <w:spacing w:line="240" w:lineRule="auto"/>
        <w:rPr>
          <w:rFonts w:hint="eastAsia" w:cs="宋体"/>
          <w:bCs/>
          <w:highlight w:val="none"/>
          <w:lang w:bidi="ar"/>
        </w:rPr>
      </w:pPr>
    </w:p>
    <w:p>
      <w:pPr>
        <w:rPr>
          <w:rFonts w:hint="eastAsia" w:cs="宋体"/>
          <w:bCs/>
          <w:highlight w:val="none"/>
          <w:lang w:bidi="ar"/>
        </w:rPr>
      </w:pPr>
      <w:r>
        <w:rPr>
          <w:rFonts w:hint="eastAsia" w:cs="宋体"/>
          <w:bCs/>
          <w:highlight w:val="none"/>
          <w:lang w:bidi="ar"/>
        </w:rPr>
        <w:br w:type="page"/>
      </w:r>
    </w:p>
    <w:p>
      <w:pPr>
        <w:keepNext/>
        <w:keepLines/>
        <w:spacing w:before="360" w:after="360" w:line="240" w:lineRule="auto"/>
        <w:jc w:val="center"/>
        <w:outlineLvl w:val="0"/>
        <w:rPr>
          <w:rStyle w:val="23"/>
          <w:rFonts w:hint="eastAsia" w:ascii="宋体" w:hAnsi="宋体" w:eastAsia="宋体"/>
          <w:b w:val="0"/>
          <w:bCs w:val="0"/>
          <w:sz w:val="28"/>
          <w:szCs w:val="28"/>
          <w:highlight w:val="none"/>
          <w:lang w:val="en-US" w:eastAsia="zh-CN"/>
        </w:rPr>
      </w:pPr>
      <w:bookmarkStart w:id="158" w:name="_Toc17073"/>
      <w:bookmarkStart w:id="159" w:name="_Toc14322"/>
      <w:bookmarkStart w:id="160" w:name="_Toc1628"/>
      <w:r>
        <w:rPr>
          <w:rStyle w:val="23"/>
          <w:rFonts w:hint="default" w:ascii="Times New Roman" w:hAnsi="Times New Roman" w:eastAsia="黑体" w:cs="Times New Roman"/>
          <w:sz w:val="28"/>
          <w:szCs w:val="28"/>
          <w:highlight w:val="none"/>
          <w:lang w:val="en-US" w:eastAsia="zh-CN"/>
        </w:rPr>
        <w:t>6</w:t>
      </w:r>
      <w:r>
        <w:rPr>
          <w:rStyle w:val="23"/>
          <w:rFonts w:hint="eastAsia" w:ascii="宋体" w:hAnsi="宋体" w:eastAsia="宋体"/>
          <w:b w:val="0"/>
          <w:bCs w:val="0"/>
          <w:sz w:val="28"/>
          <w:szCs w:val="28"/>
          <w:highlight w:val="none"/>
          <w:lang w:val="en-US" w:eastAsia="zh-CN"/>
        </w:rPr>
        <w:t xml:space="preserve">  生    产</w:t>
      </w:r>
      <w:bookmarkEnd w:id="158"/>
      <w:bookmarkEnd w:id="159"/>
      <w:bookmarkEnd w:id="160"/>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default" w:ascii="黑体" w:hAnsi="黑体" w:cs="宋体" w:eastAsiaTheme="minorEastAsia"/>
          <w:b w:val="0"/>
          <w:bCs w:val="0"/>
          <w:sz w:val="21"/>
          <w:szCs w:val="21"/>
          <w:highlight w:val="none"/>
          <w:lang w:val="en-US" w:eastAsia="zh-CN"/>
        </w:rPr>
      </w:pPr>
      <w:bookmarkStart w:id="161" w:name="_Toc9809"/>
      <w:bookmarkStart w:id="162" w:name="_Toc10525"/>
      <w:bookmarkStart w:id="163" w:name="_Toc3707"/>
      <w:r>
        <w:rPr>
          <w:rFonts w:hint="eastAsia" w:ascii="Times New Roman" w:hAnsi="Times New Roman" w:eastAsia="宋体"/>
          <w:sz w:val="21"/>
          <w:szCs w:val="21"/>
          <w:highlight w:val="none"/>
          <w:lang w:val="en-US" w:eastAsia="zh-CN"/>
        </w:rPr>
        <w:t>6</w:t>
      </w:r>
      <w:r>
        <w:rPr>
          <w:rFonts w:hint="eastAsia" w:ascii="宋体" w:hAnsi="宋体" w:eastAsia="宋体"/>
          <w:sz w:val="21"/>
          <w:szCs w:val="21"/>
          <w:highlight w:val="none"/>
        </w:rPr>
        <w:t>.</w:t>
      </w:r>
      <w:r>
        <w:rPr>
          <w:rFonts w:ascii="Times New Roman" w:hAnsi="Times New Roman"/>
          <w:sz w:val="21"/>
          <w:szCs w:val="21"/>
          <w:highlight w:val="none"/>
        </w:rPr>
        <w:t>1</w:t>
      </w:r>
      <w:r>
        <w:rPr>
          <w:rFonts w:hint="eastAsia" w:ascii="黑体" w:hAnsi="黑体"/>
          <w:b w:val="0"/>
          <w:sz w:val="21"/>
          <w:szCs w:val="21"/>
          <w:highlight w:val="none"/>
        </w:rPr>
        <w:t xml:space="preserve">  </w:t>
      </w:r>
      <w:r>
        <w:rPr>
          <w:rFonts w:hint="eastAsia" w:ascii="黑体" w:hAnsi="黑体" w:eastAsia="黑体"/>
          <w:b w:val="0"/>
          <w:sz w:val="21"/>
          <w:szCs w:val="21"/>
          <w:highlight w:val="none"/>
          <w:lang w:val="en-US" w:eastAsia="zh-CN"/>
        </w:rPr>
        <w:t xml:space="preserve">一 </w:t>
      </w:r>
      <w:r>
        <w:rPr>
          <w:rFonts w:hint="eastAsia" w:ascii="黑体" w:hAnsi="黑体" w:eastAsia="黑体" w:cs="黑体"/>
          <w:b w:val="0"/>
          <w:bCs/>
          <w:kern w:val="2"/>
          <w:sz w:val="21"/>
          <w:szCs w:val="21"/>
          <w:highlight w:val="none"/>
          <w:lang w:val="en-US" w:eastAsia="zh-CN" w:bidi="ar-SA"/>
        </w:rPr>
        <w:t>般 规</w:t>
      </w:r>
      <w:r>
        <w:rPr>
          <w:rFonts w:hint="eastAsia" w:ascii="黑体" w:hAnsi="黑体" w:eastAsia="黑体"/>
          <w:b w:val="0"/>
          <w:sz w:val="21"/>
          <w:szCs w:val="21"/>
          <w:highlight w:val="none"/>
          <w:lang w:val="en-US" w:eastAsia="zh-CN"/>
        </w:rPr>
        <w:t xml:space="preserve"> 定</w:t>
      </w:r>
      <w:bookmarkEnd w:id="161"/>
      <w:bookmarkEnd w:id="162"/>
      <w:bookmarkEnd w:id="163"/>
    </w:p>
    <w:p>
      <w:pPr>
        <w:spacing w:line="240" w:lineRule="auto"/>
        <w:rPr>
          <w:rFonts w:hint="eastAsia" w:ascii="宋体" w:hAnsi="宋体" w:eastAsia="宋体" w:cs="宋体"/>
          <w:szCs w:val="21"/>
          <w:highlight w:val="none"/>
        </w:rPr>
      </w:pPr>
      <w:bookmarkStart w:id="164" w:name="_Toc462409508"/>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b w:val="0"/>
          <w:bCs w:val="0"/>
          <w:highlight w:val="none"/>
        </w:rPr>
        <w:t xml:space="preserve">  </w:t>
      </w:r>
      <w:r>
        <w:rPr>
          <w:rFonts w:hint="eastAsia" w:ascii="宋体" w:hAnsi="宋体" w:eastAsia="宋体" w:cs="宋体"/>
          <w:szCs w:val="21"/>
          <w:highlight w:val="none"/>
        </w:rPr>
        <w:t>预制混凝土</w:t>
      </w:r>
      <w:r>
        <w:rPr>
          <w:rFonts w:hint="eastAsia"/>
          <w:highlight w:val="none"/>
        </w:rPr>
        <w:t>构件</w:t>
      </w:r>
      <w:r>
        <w:rPr>
          <w:rFonts w:hint="eastAsia" w:ascii="宋体" w:hAnsi="宋体" w:eastAsia="宋体" w:cs="宋体"/>
          <w:szCs w:val="21"/>
          <w:highlight w:val="none"/>
        </w:rPr>
        <w:t>制作应在工厂进行，生产线及生产设备应符合国家相关技术标准要求，生产全过程做好质量控制和管理。</w:t>
      </w:r>
    </w:p>
    <w:p>
      <w:pPr>
        <w:spacing w:line="240" w:lineRule="auto"/>
        <w:rPr>
          <w:rFonts w:hint="eastAsia" w:ascii="宋体" w:hAnsi="宋体" w:eastAsia="宋体" w:cs="宋体"/>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b w:val="0"/>
          <w:bCs w:val="0"/>
          <w:highlight w:val="none"/>
        </w:rPr>
        <w:t xml:space="preserve">  </w:t>
      </w:r>
      <w:r>
        <w:rPr>
          <w:rFonts w:hint="eastAsia" w:ascii="宋体" w:hAnsi="宋体" w:eastAsia="宋体" w:cs="宋体"/>
          <w:szCs w:val="21"/>
          <w:highlight w:val="none"/>
        </w:rPr>
        <w:t>预制混凝土构件的生产应依据设计图纸进行，并应根据构件特点制定相应的生产工艺流程和方案。</w:t>
      </w:r>
    </w:p>
    <w:p>
      <w:pPr>
        <w:spacing w:line="240" w:lineRule="auto"/>
        <w:rPr>
          <w:rFonts w:hint="eastAsia" w:ascii="宋体" w:hAnsi="宋体" w:eastAsia="宋体" w:cs="宋体"/>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b w:val="0"/>
          <w:bCs w:val="0"/>
          <w:highlight w:val="none"/>
        </w:rPr>
        <w:t xml:space="preserve">  </w:t>
      </w:r>
      <w:r>
        <w:rPr>
          <w:rFonts w:hint="eastAsia" w:ascii="宋体" w:hAnsi="宋体" w:eastAsia="宋体" w:cs="宋体"/>
          <w:szCs w:val="21"/>
          <w:highlight w:val="none"/>
        </w:rPr>
        <w:t>预制混凝土构件生产前应对各项工序进行技术交底，明确质量要求和控制要点，上道工序经检查验收合格后，才能进行下道工序。</w:t>
      </w:r>
    </w:p>
    <w:p>
      <w:pPr>
        <w:spacing w:line="240" w:lineRule="auto"/>
        <w:rPr>
          <w:rFonts w:hint="eastAsia" w:ascii="宋体" w:hAnsi="宋体" w:eastAsia="宋体" w:cs="宋体"/>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b w:val="0"/>
          <w:bCs w:val="0"/>
          <w:highlight w:val="none"/>
        </w:rPr>
        <w:t xml:space="preserve">  </w:t>
      </w:r>
      <w:r>
        <w:rPr>
          <w:rFonts w:hint="eastAsia" w:ascii="宋体" w:hAnsi="宋体" w:eastAsia="宋体" w:cs="宋体"/>
          <w:szCs w:val="21"/>
          <w:highlight w:val="none"/>
        </w:rPr>
        <w:t>预制混凝土构件生产应建立首件验收制度。</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165" w:name="_Toc27552"/>
      <w:bookmarkStart w:id="166" w:name="_Toc154586183"/>
      <w:bookmarkStart w:id="167" w:name="_Toc116895374"/>
      <w:bookmarkStart w:id="168" w:name="_Toc116581562"/>
      <w:bookmarkStart w:id="169" w:name="_Toc11160010"/>
      <w:bookmarkStart w:id="170" w:name="_Toc153205489"/>
      <w:bookmarkStart w:id="171" w:name="_Toc143007019"/>
      <w:bookmarkStart w:id="172" w:name="_Toc29543"/>
      <w:bookmarkStart w:id="173" w:name="_Toc30059"/>
      <w:r>
        <w:rPr>
          <w:rFonts w:hint="eastAsia" w:ascii="Times New Roman" w:hAnsi="Times New Roman" w:eastAsia="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Times New Roman" w:hAnsi="Times New Roman" w:eastAsia="宋体"/>
          <w:sz w:val="21"/>
          <w:szCs w:val="21"/>
          <w:highlight w:val="none"/>
          <w:lang w:val="en-US" w:eastAsia="zh-CN"/>
        </w:rPr>
        <w:t>2</w:t>
      </w:r>
      <w:r>
        <w:rPr>
          <w:rFonts w:hint="eastAsia" w:ascii="黑体" w:hAnsi="黑体" w:eastAsia="黑体"/>
          <w:b w:val="0"/>
          <w:sz w:val="21"/>
          <w:szCs w:val="21"/>
          <w:highlight w:val="none"/>
          <w:lang w:val="en-US" w:eastAsia="zh-CN"/>
        </w:rPr>
        <w:t xml:space="preserve">  生产前准备</w:t>
      </w:r>
      <w:bookmarkEnd w:id="164"/>
      <w:bookmarkEnd w:id="165"/>
      <w:bookmarkEnd w:id="166"/>
      <w:bookmarkEnd w:id="167"/>
      <w:bookmarkEnd w:id="168"/>
      <w:bookmarkEnd w:id="169"/>
      <w:bookmarkEnd w:id="170"/>
      <w:bookmarkEnd w:id="171"/>
      <w:bookmarkEnd w:id="172"/>
      <w:bookmarkEnd w:id="173"/>
    </w:p>
    <w:p>
      <w:pPr>
        <w:spacing w:line="240" w:lineRule="auto"/>
        <w:rPr>
          <w:rFonts w:hint="default" w:ascii="Times New Roman" w:hAnsi="Times New Roman" w:eastAsia="宋体" w:cs="Times New Roman"/>
          <w:szCs w:val="21"/>
          <w:highlight w:val="none"/>
        </w:rPr>
      </w:pPr>
      <w:bookmarkStart w:id="174" w:name="_Toc393377992"/>
      <w:bookmarkStart w:id="175" w:name="_Toc21433"/>
      <w:bookmarkStart w:id="176" w:name="_Toc387912833"/>
      <w:bookmarkStart w:id="177" w:name="_Toc20544"/>
      <w:bookmarkStart w:id="178" w:name="_Toc17462"/>
      <w:bookmarkStart w:id="179" w:name="_Toc17980"/>
      <w:bookmarkStart w:id="180" w:name="_Toc382558666"/>
      <w:bookmarkStart w:id="181" w:name="_Toc389227364"/>
      <w:bookmarkStart w:id="182" w:name="_Toc479"/>
      <w:bookmarkStart w:id="183" w:name="_Toc21504"/>
      <w:bookmarkStart w:id="184" w:name="_Toc6459"/>
      <w:bookmarkStart w:id="185" w:name="_Toc29670"/>
      <w:bookmarkStart w:id="186" w:name="_Toc9388"/>
      <w:bookmarkStart w:id="187" w:name="_Toc462409509"/>
      <w:bookmarkStart w:id="188" w:name="_Toc6206"/>
      <w:bookmarkStart w:id="189" w:name="_Toc29461"/>
      <w:bookmarkStart w:id="190" w:name="_Toc11160011"/>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default"/>
          <w:b w:val="0"/>
          <w:bCs w:val="0"/>
          <w:highlight w:val="none"/>
        </w:rPr>
        <w:t xml:space="preserve">  </w:t>
      </w:r>
      <w:r>
        <w:rPr>
          <w:rFonts w:hint="default" w:ascii="Times New Roman" w:hAnsi="Times New Roman" w:eastAsia="宋体" w:cs="Times New Roman"/>
          <w:szCs w:val="21"/>
          <w:highlight w:val="none"/>
        </w:rPr>
        <w:t>预制</w:t>
      </w:r>
      <w:r>
        <w:rPr>
          <w:rFonts w:hint="default"/>
          <w:highlight w:val="none"/>
        </w:rPr>
        <w:t>混凝土</w:t>
      </w:r>
      <w:r>
        <w:rPr>
          <w:rFonts w:hint="default" w:ascii="Times New Roman" w:hAnsi="Times New Roman" w:eastAsia="宋体" w:cs="Times New Roman"/>
          <w:szCs w:val="21"/>
          <w:highlight w:val="none"/>
        </w:rPr>
        <w:t>构件生产前，应编制构件制作图和计算书，具体应包含下列内容：</w:t>
      </w:r>
    </w:p>
    <w:p>
      <w:pPr>
        <w:spacing w:line="240" w:lineRule="auto"/>
        <w:ind w:firstLine="440" w:firstLineChars="200"/>
        <w:rPr>
          <w:rFonts w:hint="default" w:ascii="Times New Roman" w:hAnsi="Times New Roman" w:eastAsia="宋体" w:cs="Times New Roman"/>
          <w:szCs w:val="21"/>
          <w:highlight w:val="none"/>
        </w:rPr>
      </w:pPr>
      <w:r>
        <w:rPr>
          <w:rFonts w:hint="default"/>
          <w:b/>
          <w:bCs/>
          <w:szCs w:val="21"/>
          <w:highlight w:val="none"/>
        </w:rPr>
        <w:t>1</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预制</w:t>
      </w:r>
      <w:r>
        <w:rPr>
          <w:rFonts w:hint="default"/>
          <w:highlight w:val="none"/>
        </w:rPr>
        <w:t>混凝土</w:t>
      </w:r>
      <w:r>
        <w:rPr>
          <w:rFonts w:hint="default" w:ascii="Times New Roman" w:hAnsi="Times New Roman" w:eastAsia="宋体" w:cs="Times New Roman"/>
          <w:szCs w:val="21"/>
          <w:highlight w:val="none"/>
        </w:rPr>
        <w:t xml:space="preserve">构件模板图、配筋图、吊件及管线等预埋件的布置图及细部详图等；    </w:t>
      </w:r>
    </w:p>
    <w:p>
      <w:pPr>
        <w:spacing w:line="240" w:lineRule="auto"/>
        <w:ind w:firstLine="440" w:firstLineChars="200"/>
        <w:outlineLvl w:val="9"/>
        <w:rPr>
          <w:rFonts w:hint="default" w:ascii="Times New Roman" w:hAnsi="Times New Roman" w:eastAsia="宋体" w:cs="Times New Roman"/>
          <w:szCs w:val="21"/>
          <w:highlight w:val="none"/>
        </w:rPr>
      </w:pPr>
      <w:bookmarkStart w:id="191" w:name="_Toc10161"/>
      <w:bookmarkStart w:id="192" w:name="_Toc18425"/>
      <w:r>
        <w:rPr>
          <w:rFonts w:hint="default" w:ascii="Times New Roman" w:hAnsi="Times New Roman" w:eastAsia="宋体" w:cs="Times New Roman"/>
          <w:b/>
          <w:bCs/>
          <w:highlight w:val="none"/>
        </w:rPr>
        <w:t>2</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对带饰面砖或饰面板的构件，应绘制排砖图或排板图；</w:t>
      </w:r>
      <w:bookmarkEnd w:id="191"/>
      <w:bookmarkEnd w:id="192"/>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3</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对夹芯保温墙板，应绘制内外叶墙板拉结件布置图及保温板排板图；</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4</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预制</w:t>
      </w:r>
      <w:r>
        <w:rPr>
          <w:rFonts w:hint="default"/>
          <w:highlight w:val="none"/>
        </w:rPr>
        <w:t>混凝土</w:t>
      </w:r>
      <w:r>
        <w:rPr>
          <w:rFonts w:hint="default" w:ascii="Times New Roman" w:hAnsi="Times New Roman" w:eastAsia="宋体" w:cs="Times New Roman"/>
          <w:szCs w:val="21"/>
          <w:highlight w:val="none"/>
        </w:rPr>
        <w:t>构件安装图、拼接详图、防水构造详图等；</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5</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 xml:space="preserve">吊点受力验算书和构件临时安装受力验算书等。      </w:t>
      </w:r>
    </w:p>
    <w:p>
      <w:pPr>
        <w:spacing w:line="240" w:lineRule="auto"/>
        <w:rPr>
          <w:rFonts w:hint="default"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default"/>
          <w:b w:val="0"/>
          <w:bCs w:val="0"/>
          <w:highlight w:val="none"/>
        </w:rPr>
        <w:t xml:space="preserve">  </w:t>
      </w:r>
      <w:r>
        <w:rPr>
          <w:rFonts w:hint="default" w:ascii="Times New Roman" w:hAnsi="Times New Roman" w:eastAsia="宋体" w:cs="Times New Roman"/>
          <w:szCs w:val="21"/>
          <w:highlight w:val="none"/>
        </w:rPr>
        <w:t>生产车间应根据生产方案安排生产，构件生产方案应包括下列内容：</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1</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生产计划及生产工艺；</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2</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模具计划及组装方案；</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3</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质量控制措施；</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4</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产品修补方案；</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5</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运输管理计划；</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6</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成品保护措施。</w:t>
      </w:r>
    </w:p>
    <w:p>
      <w:pPr>
        <w:spacing w:line="240" w:lineRule="auto"/>
        <w:rPr>
          <w:rFonts w:hint="default"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default"/>
          <w:b w:val="0"/>
          <w:bCs w:val="0"/>
          <w:highlight w:val="none"/>
        </w:rPr>
        <w:t xml:space="preserve">  </w:t>
      </w:r>
      <w:r>
        <w:rPr>
          <w:rFonts w:hint="default" w:ascii="Times New Roman" w:hAnsi="Times New Roman" w:eastAsia="宋体" w:cs="Times New Roman"/>
          <w:szCs w:val="21"/>
          <w:highlight w:val="none"/>
        </w:rPr>
        <w:t>预制混凝土构件生产前，应完成混凝土原材料的性能检验，并根据仓储要求存放和调用。</w:t>
      </w:r>
    </w:p>
    <w:p>
      <w:pPr>
        <w:spacing w:line="240" w:lineRule="auto"/>
        <w:rPr>
          <w:rFonts w:hint="default"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default"/>
          <w:b w:val="0"/>
          <w:bCs w:val="0"/>
          <w:highlight w:val="none"/>
        </w:rPr>
        <w:t xml:space="preserve">  </w:t>
      </w:r>
      <w:r>
        <w:rPr>
          <w:rFonts w:hint="default" w:ascii="Times New Roman" w:hAnsi="Times New Roman" w:eastAsia="宋体" w:cs="Times New Roman"/>
          <w:szCs w:val="21"/>
          <w:highlight w:val="none"/>
        </w:rPr>
        <w:t>预制混凝土构件生产前应进行受力钢筋连接工艺检验，并应符合下列规定：</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1</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钢筋焊接接头工艺检验结果应符合现行行业标准《钢筋焊接及验收规程》JGJ 18的有关规定；</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2</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钢筋机械连接接头工艺检验结果应符合现行行业标准《钢筋机械连接技术规程》JGJ 107的有关规定；</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3</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灌浆连接接头进厂检验结果应符合现行行业标准《钢筋套筒灌浆连接应用技术规程》JGJ 355的有关规定；</w:t>
      </w:r>
    </w:p>
    <w:p>
      <w:pPr>
        <w:spacing w:line="240" w:lineRule="auto"/>
        <w:ind w:firstLine="440" w:firstLineChars="200"/>
        <w:rPr>
          <w:rFonts w:hint="default" w:ascii="Times New Roman" w:hAnsi="Times New Roman" w:eastAsia="宋体" w:cs="Times New Roman"/>
          <w:szCs w:val="21"/>
          <w:highlight w:val="none"/>
        </w:rPr>
      </w:pPr>
      <w:r>
        <w:rPr>
          <w:rFonts w:hint="default" w:ascii="Times New Roman" w:hAnsi="Times New Roman" w:eastAsia="宋体" w:cs="Times New Roman"/>
          <w:b/>
          <w:bCs/>
          <w:highlight w:val="none"/>
        </w:rPr>
        <w:t>4</w:t>
      </w:r>
      <w:r>
        <w:rPr>
          <w:rFonts w:hint="default"/>
          <w:b w:val="0"/>
          <w:bCs w:val="0"/>
          <w:highlight w:val="none"/>
        </w:rPr>
        <w:t xml:space="preserve"> </w:t>
      </w:r>
      <w:r>
        <w:rPr>
          <w:rFonts w:hint="eastAsia"/>
          <w:b w:val="0"/>
          <w:bCs w:val="0"/>
          <w:highlight w:val="none"/>
          <w:lang w:val="en-US" w:eastAsia="zh-CN"/>
        </w:rPr>
        <w:t xml:space="preserve"> </w:t>
      </w:r>
      <w:r>
        <w:rPr>
          <w:rFonts w:hint="default" w:ascii="Times New Roman" w:hAnsi="Times New Roman" w:eastAsia="宋体" w:cs="Times New Roman"/>
          <w:szCs w:val="21"/>
          <w:highlight w:val="none"/>
        </w:rPr>
        <w:t>其它类型受力钢筋连接工艺检验应符合设计文件和国家现行标准的有关规定。</w:t>
      </w:r>
    </w:p>
    <w:p>
      <w:pPr>
        <w:spacing w:line="240" w:lineRule="auto"/>
        <w:rPr>
          <w:rFonts w:hint="default"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default"/>
          <w:b w:val="0"/>
          <w:bCs w:val="0"/>
          <w:highlight w:val="none"/>
        </w:rPr>
        <w:t xml:space="preserve">  </w:t>
      </w:r>
      <w:r>
        <w:rPr>
          <w:rFonts w:hint="default" w:ascii="Times New Roman" w:hAnsi="Times New Roman" w:eastAsia="宋体" w:cs="Times New Roman"/>
          <w:szCs w:val="21"/>
          <w:highlight w:val="none"/>
        </w:rPr>
        <w:t>预制混凝土构件受力钢筋的连接采用浆锚搭接连接时，所采用的预留孔成孔工艺、孔道形状和长度、灌浆料和被锚固的带肋钢筋，应进行连接适配性的试验验证，经鉴定确认安全可靠后方可采用。</w:t>
      </w:r>
    </w:p>
    <w:p>
      <w:pPr>
        <w:spacing w:line="240" w:lineRule="auto"/>
        <w:rPr>
          <w:rFonts w:hint="eastAsia" w:ascii="宋体" w:hAnsi="宋体" w:eastAsia="宋体" w:cs="宋体"/>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default"/>
          <w:b w:val="0"/>
          <w:bCs w:val="0"/>
          <w:highlight w:val="none"/>
        </w:rPr>
        <w:t xml:space="preserve">  </w:t>
      </w:r>
      <w:r>
        <w:rPr>
          <w:rFonts w:hint="default" w:ascii="Times New Roman" w:hAnsi="Times New Roman" w:eastAsia="宋体" w:cs="Times New Roman"/>
          <w:szCs w:val="21"/>
          <w:highlight w:val="none"/>
        </w:rPr>
        <w:t>模具使用时，应扫除表面杂物灰尘再均匀喷涂脱模剂，待脱模剂干燥后方可进行后续工</w:t>
      </w:r>
      <w:r>
        <w:rPr>
          <w:rFonts w:hint="eastAsia" w:ascii="宋体" w:hAnsi="宋体" w:eastAsia="宋体" w:cs="宋体"/>
          <w:szCs w:val="21"/>
          <w:highlight w:val="none"/>
        </w:rPr>
        <w:t>序。</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193" w:name="_Toc153205490"/>
      <w:bookmarkStart w:id="194" w:name="_Toc116895375"/>
      <w:bookmarkStart w:id="195" w:name="_Toc963"/>
      <w:bookmarkStart w:id="196" w:name="_Toc27573"/>
      <w:bookmarkStart w:id="197" w:name="_Toc143007020"/>
      <w:bookmarkStart w:id="198" w:name="_Toc11427"/>
      <w:bookmarkStart w:id="199" w:name="_Toc116581563"/>
      <w:bookmarkStart w:id="200" w:name="_Toc154586184"/>
      <w:r>
        <w:rPr>
          <w:rFonts w:hint="eastAsia" w:ascii="Times New Roman" w:hAnsi="Times New Roman" w:eastAsia="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Times New Roman" w:hAnsi="Times New Roman" w:eastAsia="宋体"/>
          <w:sz w:val="21"/>
          <w:szCs w:val="21"/>
          <w:highlight w:val="none"/>
          <w:lang w:val="en-US" w:eastAsia="zh-CN"/>
        </w:rPr>
        <w:t>3</w:t>
      </w:r>
      <w:r>
        <w:rPr>
          <w:rFonts w:hint="eastAsia" w:ascii="黑体" w:hAnsi="黑体" w:eastAsia="黑体"/>
          <w:b w:val="0"/>
          <w:sz w:val="21"/>
          <w:szCs w:val="21"/>
          <w:highlight w:val="none"/>
          <w:lang w:val="en-US" w:eastAsia="zh-CN"/>
        </w:rPr>
        <w:t xml:space="preserve">  钢筋</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hint="eastAsia" w:ascii="黑体" w:hAnsi="黑体" w:eastAsia="黑体"/>
          <w:b w:val="0"/>
          <w:sz w:val="21"/>
          <w:szCs w:val="21"/>
          <w:highlight w:val="none"/>
          <w:lang w:val="en-US" w:eastAsia="zh-CN"/>
        </w:rPr>
        <w:t>加工、</w:t>
      </w:r>
      <w:r>
        <w:rPr>
          <w:rFonts w:hint="eastAsia" w:ascii="黑体" w:hAnsi="黑体" w:eastAsia="黑体" w:cs="黑体"/>
          <w:b w:val="0"/>
          <w:bCs/>
          <w:kern w:val="2"/>
          <w:sz w:val="21"/>
          <w:szCs w:val="21"/>
          <w:highlight w:val="none"/>
          <w:lang w:val="en-US" w:eastAsia="zh-CN" w:bidi="ar-SA"/>
        </w:rPr>
        <w:t>连接</w:t>
      </w:r>
      <w:r>
        <w:rPr>
          <w:rFonts w:hint="eastAsia" w:ascii="黑体" w:hAnsi="黑体" w:eastAsia="黑体"/>
          <w:b w:val="0"/>
          <w:sz w:val="21"/>
          <w:szCs w:val="21"/>
          <w:highlight w:val="none"/>
          <w:lang w:val="en-US" w:eastAsia="zh-CN"/>
        </w:rPr>
        <w:t>与安装</w:t>
      </w:r>
      <w:bookmarkEnd w:id="190"/>
      <w:bookmarkEnd w:id="193"/>
      <w:bookmarkEnd w:id="194"/>
      <w:bookmarkEnd w:id="195"/>
      <w:bookmarkEnd w:id="196"/>
      <w:bookmarkEnd w:id="197"/>
      <w:bookmarkEnd w:id="198"/>
      <w:bookmarkEnd w:id="199"/>
      <w:bookmarkEnd w:id="200"/>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default"/>
          <w:b w:val="0"/>
          <w:bCs w:val="0"/>
          <w:highlight w:val="none"/>
        </w:rPr>
        <w:t xml:space="preserve">  </w:t>
      </w:r>
      <w:r>
        <w:rPr>
          <w:rFonts w:hint="eastAsia" w:ascii="Times New Roman" w:hAnsi="Times New Roman" w:eastAsia="宋体" w:cs="Times New Roman"/>
          <w:szCs w:val="21"/>
          <w:highlight w:val="none"/>
        </w:rPr>
        <w:t>钢筋宜采用机械设备加工，并应符合国家现行标准《混凝土结构工程施工规范》GB</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50666的有关规定。</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default"/>
          <w:b w:val="0"/>
          <w:bCs w:val="0"/>
          <w:highlight w:val="none"/>
        </w:rPr>
        <w:t xml:space="preserve">  </w:t>
      </w:r>
      <w:r>
        <w:rPr>
          <w:rFonts w:hint="eastAsia" w:ascii="Times New Roman" w:hAnsi="Times New Roman" w:eastAsia="宋体" w:cs="Times New Roman"/>
          <w:szCs w:val="21"/>
          <w:highlight w:val="none"/>
        </w:rPr>
        <w:t>钢筋车间应严格按照钢筋配料单加工，确定弯曲调整值，弯钩增加长度，箍筋调整值等参数，保证下料长度准确。下料前，应对钢筋进行除锈、除油、除污，以免影响其与混凝土的粘结效果。钢筋加工的允许偏差应符合表6</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3</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2的规定。</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6</w:t>
      </w:r>
      <w:r>
        <w:rPr>
          <w:rFonts w:hint="eastAsia" w:ascii="宋体" w:hAnsi="宋体" w:eastAsia="宋体" w:cs="宋体"/>
          <w:b/>
          <w:bCs/>
          <w:sz w:val="21"/>
          <w:szCs w:val="21"/>
          <w:highlight w:val="none"/>
        </w:rPr>
        <w:t>.</w:t>
      </w:r>
      <w:r>
        <w:rPr>
          <w:rFonts w:hint="default" w:ascii="Times New Roman" w:hAnsi="Times New Roman" w:eastAsia="黑体" w:cs="Times New Roman"/>
          <w:b/>
          <w:bCs/>
          <w:sz w:val="18"/>
          <w:szCs w:val="18"/>
          <w:highlight w:val="none"/>
        </w:rPr>
        <w:t>3</w:t>
      </w:r>
      <w:r>
        <w:rPr>
          <w:rFonts w:hint="default" w:ascii="宋体" w:hAnsi="宋体" w:eastAsia="宋体" w:cs="宋体"/>
          <w:b/>
          <w:bCs/>
          <w:sz w:val="21"/>
          <w:szCs w:val="21"/>
          <w:highlight w:val="none"/>
        </w:rPr>
        <w:t>.</w:t>
      </w:r>
      <w:r>
        <w:rPr>
          <w:rFonts w:hint="default" w:ascii="Times New Roman" w:hAnsi="Times New Roman" w:eastAsia="黑体" w:cs="Times New Roman"/>
          <w:b/>
          <w:bCs/>
          <w:sz w:val="18"/>
          <w:szCs w:val="18"/>
          <w:highlight w:val="none"/>
        </w:rPr>
        <w:t>2</w:t>
      </w:r>
      <w:r>
        <w:rPr>
          <w:rFonts w:hint="eastAsia" w:ascii="黑体" w:hAnsi="黑体" w:eastAsia="黑体" w:cs="黑体"/>
          <w:sz w:val="18"/>
          <w:szCs w:val="18"/>
          <w:highlight w:val="none"/>
        </w:rPr>
        <w:t xml:space="preserve"> </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钢筋加工的允许偏差</w:t>
      </w:r>
    </w:p>
    <w:tbl>
      <w:tblPr>
        <w:tblStyle w:val="29"/>
        <w:tblW w:w="4999" w:type="pct"/>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1" w:type="dxa"/>
          <w:bottom w:w="0" w:type="dxa"/>
          <w:right w:w="11" w:type="dxa"/>
        </w:tblCellMar>
      </w:tblPr>
      <w:tblGrid>
        <w:gridCol w:w="4556"/>
        <w:gridCol w:w="473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jc w:val="center"/>
        </w:trPr>
        <w:tc>
          <w:tcPr>
            <w:tcW w:w="2451" w:type="pct"/>
            <w:tcBorders>
              <w:top w:val="single" w:color="000000" w:sz="12" w:space="0"/>
              <w:left w:val="single" w:color="000000" w:sz="1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项目</w:t>
            </w:r>
          </w:p>
        </w:tc>
        <w:tc>
          <w:tcPr>
            <w:tcW w:w="2548" w:type="pct"/>
            <w:tcBorders>
              <w:top w:val="single" w:color="000000" w:sz="1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允许偏差</w:t>
            </w:r>
            <w:r>
              <w:rPr>
                <w:rFonts w:hint="default" w:ascii="Times New Roman" w:hAnsi="Times New Roman" w:eastAsia="宋体" w:cs="Times New Roman"/>
                <w:sz w:val="15"/>
                <w:szCs w:val="15"/>
                <w:highlight w:val="none"/>
              </w:rPr>
              <w:t>（mm）</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jc w:val="center"/>
        </w:trPr>
        <w:tc>
          <w:tcPr>
            <w:tcW w:w="2451" w:type="pct"/>
            <w:tcBorders>
              <w:top w:val="single" w:color="000000" w:sz="2" w:space="0"/>
              <w:left w:val="single" w:color="000000" w:sz="1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受力钢筋沿长度方向的净尺寸</w:t>
            </w:r>
          </w:p>
        </w:tc>
        <w:tc>
          <w:tcPr>
            <w:tcW w:w="2548"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±10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jc w:val="center"/>
        </w:trPr>
        <w:tc>
          <w:tcPr>
            <w:tcW w:w="2451" w:type="pct"/>
            <w:tcBorders>
              <w:top w:val="single" w:color="000000" w:sz="2" w:space="0"/>
              <w:left w:val="single" w:color="000000" w:sz="1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弯起钢筋的弯折位置</w:t>
            </w:r>
          </w:p>
        </w:tc>
        <w:tc>
          <w:tcPr>
            <w:tcW w:w="2548"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±20</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PrEx>
        <w:trPr>
          <w:jc w:val="center"/>
        </w:trPr>
        <w:tc>
          <w:tcPr>
            <w:tcW w:w="2451" w:type="pct"/>
            <w:tcBorders>
              <w:top w:val="single" w:color="000000" w:sz="2" w:space="0"/>
              <w:left w:val="single" w:color="000000" w:sz="12" w:space="0"/>
              <w:bottom w:val="single" w:color="000000" w:sz="1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箍筋外廓尺寸</w:t>
            </w:r>
          </w:p>
        </w:tc>
        <w:tc>
          <w:tcPr>
            <w:tcW w:w="2548" w:type="pct"/>
            <w:tcBorders>
              <w:top w:val="single" w:color="000000" w:sz="2" w:space="0"/>
              <w:left w:val="single" w:color="000000" w:sz="2" w:space="0"/>
              <w:bottom w:val="single" w:color="000000" w:sz="12" w:space="0"/>
              <w:right w:val="single" w:color="000000" w:sz="12" w:space="0"/>
            </w:tcBorders>
            <w:vAlign w:val="center"/>
          </w:tcPr>
          <w:p>
            <w:pPr>
              <w:spacing w:line="240" w:lineRule="auto"/>
              <w:jc w:val="center"/>
              <w:rPr>
                <w:rFonts w:hint="default" w:ascii="Times New Roman" w:hAnsi="Times New Roman" w:eastAsia="宋体" w:cs="Times New Roman"/>
                <w:sz w:val="15"/>
                <w:szCs w:val="15"/>
                <w:highlight w:val="none"/>
              </w:rPr>
            </w:pPr>
            <w:r>
              <w:rPr>
                <w:rFonts w:hint="default" w:ascii="Times New Roman" w:hAnsi="Times New Roman" w:eastAsia="宋体" w:cs="Times New Roman"/>
                <w:sz w:val="15"/>
                <w:szCs w:val="15"/>
                <w:highlight w:val="none"/>
              </w:rPr>
              <w:t>±5</w:t>
            </w:r>
          </w:p>
        </w:tc>
      </w:tr>
    </w:tbl>
    <w:p>
      <w:pPr>
        <w:spacing w:line="240" w:lineRule="auto"/>
        <w:ind w:firstLine="422"/>
        <w:rPr>
          <w:rFonts w:hint="eastAsia" w:ascii="Times New Roman" w:hAnsi="Times New Roman" w:eastAsia="宋体" w:cs="Times New Roman"/>
          <w:szCs w:val="21"/>
          <w:highlight w:val="none"/>
        </w:rPr>
      </w:pP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default"/>
          <w:b w:val="0"/>
          <w:bCs w:val="0"/>
          <w:highlight w:val="none"/>
        </w:rPr>
        <w:t xml:space="preserve">  </w:t>
      </w:r>
      <w:r>
        <w:rPr>
          <w:rFonts w:hint="eastAsia" w:ascii="Times New Roman" w:hAnsi="Times New Roman" w:eastAsia="宋体" w:cs="Times New Roman"/>
          <w:szCs w:val="21"/>
          <w:highlight w:val="none"/>
        </w:rPr>
        <w:t>直条钢筋切断时应将同型号规格的钢筋根据不同长度长短搭配，统筹排料，先断长料，后断短料，减少短头，减少损耗。</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default"/>
          <w:b w:val="0"/>
          <w:bCs w:val="0"/>
          <w:highlight w:val="none"/>
        </w:rPr>
        <w:t xml:space="preserve">  </w:t>
      </w:r>
      <w:r>
        <w:rPr>
          <w:rFonts w:hint="eastAsia" w:ascii="Times New Roman" w:hAnsi="Times New Roman" w:eastAsia="宋体" w:cs="Times New Roman"/>
          <w:szCs w:val="21"/>
          <w:highlight w:val="none"/>
        </w:rPr>
        <w:t>钢筋加工后的半成品存放，应按牌号顺序堆放，同一规格，同一部位或同一构件的钢筋要放在一起，并有明显标识。标识应注明构件的名称、部位、钢筋的型号直径、加工的规格和根数等。</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default"/>
          <w:b w:val="0"/>
          <w:bCs w:val="0"/>
          <w:highlight w:val="none"/>
        </w:rPr>
        <w:t xml:space="preserve">  </w:t>
      </w:r>
      <w:r>
        <w:rPr>
          <w:rFonts w:hint="eastAsia" w:ascii="Times New Roman" w:hAnsi="Times New Roman" w:eastAsia="宋体" w:cs="Times New Roman"/>
          <w:szCs w:val="21"/>
          <w:highlight w:val="none"/>
        </w:rPr>
        <w:t>钢筋连接除应符合现行国家标准《混凝土结构工程施工规范》GB</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50666的有关规定外，尚应符合下列规定：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钢筋接头的方式、位置、同一截面受力钢筋的接头百分率、钢筋的搭接长度及锚固长度等应符合设计要求或国家现行有关标准的规定；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钢筋焊接接头、机械连接接头和套筒灌浆连接接头均应进行工艺检验，试验结果符合本章6</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2</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4的有关规定；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螺纹接头和半灌浆套筒连接接头应使用专用扭力扳手拧紧至规定扭力值。</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default"/>
          <w:b w:val="0"/>
          <w:bCs w:val="0"/>
          <w:highlight w:val="none"/>
        </w:rPr>
        <w:t xml:space="preserve">  </w:t>
      </w:r>
      <w:r>
        <w:rPr>
          <w:rFonts w:hint="eastAsia" w:ascii="Times New Roman" w:hAnsi="Times New Roman" w:eastAsia="宋体" w:cs="Times New Roman"/>
          <w:szCs w:val="21"/>
          <w:highlight w:val="none"/>
        </w:rPr>
        <w:t>钢筋安装偏差应符合表6</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3</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6-1的规定，受力钢筋保护层厚度的合格点率应达到90%及以上；</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bookmarkStart w:id="201" w:name="_Toc462409512"/>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6</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default"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6-1</w:t>
      </w:r>
      <w:r>
        <w:rPr>
          <w:rFonts w:hint="eastAsia" w:ascii="黑体" w:hAnsi="黑体" w:eastAsia="黑体" w:cs="黑体"/>
          <w:sz w:val="18"/>
          <w:szCs w:val="18"/>
          <w:highlight w:val="none"/>
        </w:rPr>
        <w:t xml:space="preserve"> </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钢筋安装允许偏差和检验方法</w:t>
      </w:r>
    </w:p>
    <w:tbl>
      <w:tblPr>
        <w:tblStyle w:val="12"/>
        <w:tblW w:w="5002" w:type="pct"/>
        <w:jc w:val="center"/>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Layout w:type="autofit"/>
        <w:tblCellMar>
          <w:top w:w="0" w:type="dxa"/>
          <w:left w:w="11" w:type="dxa"/>
          <w:bottom w:w="0" w:type="dxa"/>
          <w:right w:w="11" w:type="dxa"/>
        </w:tblCellMar>
      </w:tblPr>
      <w:tblGrid>
        <w:gridCol w:w="1992"/>
        <w:gridCol w:w="1163"/>
        <w:gridCol w:w="1163"/>
        <w:gridCol w:w="2158"/>
        <w:gridCol w:w="2822"/>
      </w:tblGrid>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trHeight w:val="430" w:hRule="atLeast"/>
          <w:jc w:val="center"/>
        </w:trPr>
        <w:tc>
          <w:tcPr>
            <w:tcW w:w="2321" w:type="pct"/>
            <w:gridSpan w:val="3"/>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项目</w:t>
            </w:r>
          </w:p>
        </w:tc>
        <w:tc>
          <w:tcPr>
            <w:tcW w:w="1160" w:type="pct"/>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lang w:eastAsia="zh-CN"/>
              </w:rPr>
            </w:pPr>
            <w:r>
              <w:rPr>
                <w:rFonts w:hint="eastAsia" w:ascii="Times New Roman" w:hAnsi="Times New Roman" w:eastAsia="宋体" w:cs="Times New Roman"/>
                <w:sz w:val="15"/>
                <w:szCs w:val="15"/>
                <w:highlight w:val="none"/>
              </w:rPr>
              <w:t>允许偏差</w:t>
            </w:r>
            <w:r>
              <w:rPr>
                <w:rFonts w:hint="eastAsia" w:cs="Times New Roman"/>
                <w:sz w:val="15"/>
                <w:szCs w:val="15"/>
                <w:highlight w:val="none"/>
                <w:lang w:eastAsia="zh-CN"/>
              </w:rPr>
              <w:t>（</w:t>
            </w:r>
            <w:r>
              <w:rPr>
                <w:rFonts w:hint="eastAsia" w:ascii="Times New Roman" w:hAnsi="Times New Roman" w:eastAsia="宋体" w:cs="Times New Roman"/>
                <w:sz w:val="15"/>
                <w:szCs w:val="15"/>
                <w:highlight w:val="none"/>
              </w:rPr>
              <w:t>mm</w:t>
            </w:r>
            <w:r>
              <w:rPr>
                <w:rFonts w:hint="eastAsia" w:cs="Times New Roman"/>
                <w:sz w:val="15"/>
                <w:szCs w:val="15"/>
                <w:highlight w:val="none"/>
                <w:lang w:eastAsia="zh-CN"/>
              </w:rPr>
              <w:t>）</w:t>
            </w:r>
          </w:p>
        </w:tc>
        <w:tc>
          <w:tcPr>
            <w:tcW w:w="1517" w:type="pct"/>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检验方法</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cantSplit/>
          <w:trHeight w:val="375" w:hRule="atLeast"/>
          <w:jc w:val="center"/>
        </w:trPr>
        <w:tc>
          <w:tcPr>
            <w:tcW w:w="1071" w:type="pct"/>
            <w:vMerge w:val="restart"/>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绑扎钢筋网</w:t>
            </w:r>
          </w:p>
        </w:tc>
        <w:tc>
          <w:tcPr>
            <w:tcW w:w="1250" w:type="pct"/>
            <w:gridSpan w:val="2"/>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长、宽</w:t>
            </w:r>
          </w:p>
        </w:tc>
        <w:tc>
          <w:tcPr>
            <w:tcW w:w="1160" w:type="pct"/>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±10</w:t>
            </w:r>
          </w:p>
        </w:tc>
        <w:tc>
          <w:tcPr>
            <w:tcW w:w="1517" w:type="pct"/>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cantSplit/>
          <w:trHeight w:val="390" w:hRule="atLeast"/>
          <w:jc w:val="center"/>
        </w:trPr>
        <w:tc>
          <w:tcPr>
            <w:tcW w:w="1071" w:type="pct"/>
            <w:vMerge w:val="continue"/>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p>
        </w:tc>
        <w:tc>
          <w:tcPr>
            <w:tcW w:w="1250" w:type="pct"/>
            <w:gridSpan w:val="2"/>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网眼尺寸</w:t>
            </w:r>
          </w:p>
        </w:tc>
        <w:tc>
          <w:tcPr>
            <w:tcW w:w="1160" w:type="pct"/>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±20</w:t>
            </w:r>
          </w:p>
        </w:tc>
        <w:tc>
          <w:tcPr>
            <w:tcW w:w="1517" w:type="pct"/>
            <w:tcBorders>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钢尺量连续三档，取最大值</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cantSplit/>
          <w:trHeight w:val="345" w:hRule="atLeast"/>
          <w:jc w:val="center"/>
        </w:trPr>
        <w:tc>
          <w:tcPr>
            <w:tcW w:w="1071" w:type="pct"/>
            <w:vMerge w:val="restart"/>
            <w:tcBorders>
              <w:bottom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绑扎钢筋笼</w:t>
            </w:r>
          </w:p>
        </w:tc>
        <w:tc>
          <w:tcPr>
            <w:tcW w:w="1250" w:type="pct"/>
            <w:gridSpan w:val="2"/>
            <w:tcBorders>
              <w:left w:val="single" w:color="000000" w:sz="4" w:space="0"/>
              <w:bottom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长</w:t>
            </w:r>
          </w:p>
        </w:tc>
        <w:tc>
          <w:tcPr>
            <w:tcW w:w="1160" w:type="pct"/>
            <w:tcBorders>
              <w:left w:val="single" w:color="000000" w:sz="4" w:space="0"/>
              <w:bottom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±10</w:t>
            </w:r>
          </w:p>
        </w:tc>
        <w:tc>
          <w:tcPr>
            <w:tcW w:w="1517" w:type="pct"/>
            <w:tcBorders>
              <w:left w:val="single" w:color="000000" w:sz="4" w:space="0"/>
              <w:bottom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cantSplit/>
          <w:trHeight w:val="322" w:hRule="atLeast"/>
          <w:jc w:val="center"/>
        </w:trPr>
        <w:tc>
          <w:tcPr>
            <w:tcW w:w="1071" w:type="pct"/>
            <w:vMerge w:val="continue"/>
            <w:tcBorders>
              <w:top w:val="single" w:color="000000" w:sz="4" w:space="0"/>
              <w:bottom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p>
        </w:tc>
        <w:tc>
          <w:tcPr>
            <w:tcW w:w="1250" w:type="pct"/>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宽、高</w:t>
            </w:r>
          </w:p>
        </w:tc>
        <w:tc>
          <w:tcPr>
            <w:tcW w:w="1160"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±5</w:t>
            </w:r>
          </w:p>
        </w:tc>
        <w:tc>
          <w:tcPr>
            <w:tcW w:w="1517" w:type="pct"/>
            <w:tcBorders>
              <w:top w:val="single" w:color="000000" w:sz="4" w:space="0"/>
              <w:left w:val="single" w:color="000000" w:sz="4" w:space="0"/>
              <w:bottom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cantSplit/>
          <w:trHeight w:val="345" w:hRule="atLeast"/>
          <w:jc w:val="center"/>
        </w:trPr>
        <w:tc>
          <w:tcPr>
            <w:tcW w:w="1071" w:type="pct"/>
            <w:vMerge w:val="continue"/>
            <w:tcBorders>
              <w:top w:val="single" w:color="000000" w:sz="4" w:space="0"/>
              <w:bottom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p>
        </w:tc>
        <w:tc>
          <w:tcPr>
            <w:tcW w:w="1250" w:type="pct"/>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间距</w:t>
            </w:r>
          </w:p>
        </w:tc>
        <w:tc>
          <w:tcPr>
            <w:tcW w:w="1160" w:type="pc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±10</w:t>
            </w:r>
          </w:p>
        </w:tc>
        <w:tc>
          <w:tcPr>
            <w:tcW w:w="1517" w:type="pct"/>
            <w:tcBorders>
              <w:top w:val="single" w:color="000000" w:sz="4" w:space="0"/>
              <w:left w:val="single" w:color="000000" w:sz="4" w:space="0"/>
              <w:bottom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钢尺量两端、中间各一点</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cantSplit/>
          <w:trHeight w:val="345" w:hRule="atLeast"/>
          <w:jc w:val="center"/>
        </w:trPr>
        <w:tc>
          <w:tcPr>
            <w:tcW w:w="1071" w:type="pct"/>
            <w:vMerge w:val="restart"/>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受力钢筋</w:t>
            </w:r>
          </w:p>
        </w:tc>
        <w:tc>
          <w:tcPr>
            <w:tcW w:w="1250" w:type="pct"/>
            <w:gridSpan w:val="2"/>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排距</w:t>
            </w:r>
          </w:p>
        </w:tc>
        <w:tc>
          <w:tcPr>
            <w:tcW w:w="1160"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±5</w:t>
            </w:r>
          </w:p>
        </w:tc>
        <w:tc>
          <w:tcPr>
            <w:tcW w:w="1517"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取最大值</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cantSplit/>
          <w:trHeight w:val="315" w:hRule="atLeast"/>
          <w:jc w:val="center"/>
        </w:trPr>
        <w:tc>
          <w:tcPr>
            <w:tcW w:w="1071" w:type="pct"/>
            <w:vMerge w:val="continue"/>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625"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保护层厚度</w:t>
            </w:r>
          </w:p>
        </w:tc>
        <w:tc>
          <w:tcPr>
            <w:tcW w:w="625"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基础</w:t>
            </w:r>
          </w:p>
        </w:tc>
        <w:tc>
          <w:tcPr>
            <w:tcW w:w="1160"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±10</w:t>
            </w:r>
          </w:p>
        </w:tc>
        <w:tc>
          <w:tcPr>
            <w:tcW w:w="1517"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cantSplit/>
          <w:trHeight w:val="300" w:hRule="atLeast"/>
          <w:jc w:val="center"/>
        </w:trPr>
        <w:tc>
          <w:tcPr>
            <w:tcW w:w="1071" w:type="pct"/>
            <w:vMerge w:val="continue"/>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625"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625"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柱、梁</w:t>
            </w:r>
          </w:p>
        </w:tc>
        <w:tc>
          <w:tcPr>
            <w:tcW w:w="1160"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±5</w:t>
            </w:r>
          </w:p>
        </w:tc>
        <w:tc>
          <w:tcPr>
            <w:tcW w:w="1517"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trHeight w:val="408" w:hRule="atLeast"/>
          <w:jc w:val="center"/>
        </w:trPr>
        <w:tc>
          <w:tcPr>
            <w:tcW w:w="1071" w:type="pct"/>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625"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625"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板、墙、壳</w:t>
            </w:r>
          </w:p>
        </w:tc>
        <w:tc>
          <w:tcPr>
            <w:tcW w:w="1160"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w:t>
            </w:r>
          </w:p>
        </w:tc>
        <w:tc>
          <w:tcPr>
            <w:tcW w:w="1517"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trHeight w:val="450" w:hRule="atLeast"/>
          <w:jc w:val="center"/>
        </w:trPr>
        <w:tc>
          <w:tcPr>
            <w:tcW w:w="2321" w:type="pct"/>
            <w:gridSpan w:val="3"/>
            <w:tcBorders>
              <w:top w:val="single" w:color="000000" w:sz="4" w:space="0"/>
              <w:left w:val="single" w:color="000000" w:sz="12"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绑扎箍筋、横向钢筋间距</w:t>
            </w:r>
          </w:p>
        </w:tc>
        <w:tc>
          <w:tcPr>
            <w:tcW w:w="1160" w:type="pct"/>
            <w:tcBorders>
              <w:top w:val="single" w:color="000000" w:sz="4" w:space="0"/>
              <w:left w:val="single" w:color="000000" w:sz="4" w:space="0"/>
              <w:right w:val="single" w:color="000000" w:sz="4"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±5</w:t>
            </w:r>
          </w:p>
        </w:tc>
        <w:tc>
          <w:tcPr>
            <w:tcW w:w="1517" w:type="pct"/>
            <w:tcBorders>
              <w:top w:val="single" w:color="000000" w:sz="4" w:space="0"/>
              <w:left w:val="single" w:color="000000" w:sz="4" w:space="0"/>
              <w:right w:val="single" w:color="000000" w:sz="12"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钢尺量连续三档，取最大值</w:t>
            </w:r>
          </w:p>
        </w:tc>
      </w:tr>
    </w:tbl>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b/>
          <w:bCs/>
          <w:sz w:val="18"/>
          <w:szCs w:val="18"/>
          <w:highlight w:val="none"/>
        </w:rPr>
      </w:pPr>
      <w:r>
        <w:rPr>
          <w:rFonts w:hint="eastAsia" w:ascii="黑体" w:hAnsi="黑体" w:eastAsia="黑体" w:cs="黑体"/>
          <w:sz w:val="18"/>
          <w:szCs w:val="18"/>
          <w:highlight w:val="none"/>
          <w:lang w:val="en-US" w:eastAsia="zh-CN"/>
        </w:rPr>
        <w:t>续</w:t>
      </w: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6</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default"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6-1</w:t>
      </w:r>
    </w:p>
    <w:tbl>
      <w:tblPr>
        <w:tblStyle w:val="12"/>
        <w:tblW w:w="5002" w:type="pct"/>
        <w:jc w:val="center"/>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Layout w:type="autofit"/>
        <w:tblCellMar>
          <w:top w:w="0" w:type="dxa"/>
          <w:left w:w="11" w:type="dxa"/>
          <w:bottom w:w="0" w:type="dxa"/>
          <w:right w:w="11" w:type="dxa"/>
        </w:tblCellMar>
      </w:tblPr>
      <w:tblGrid>
        <w:gridCol w:w="4318"/>
        <w:gridCol w:w="2158"/>
        <w:gridCol w:w="2822"/>
      </w:tblGrid>
      <w:tr>
        <w:tblPrEx>
          <w:tblBorders>
            <w:top w:val="single" w:color="000000" w:sz="12" w:space="0"/>
            <w:left w:val="single" w:color="000000" w:sz="12" w:space="0"/>
            <w:bottom w:val="single" w:color="000000" w:sz="12" w:space="0"/>
            <w:right w:val="single" w:color="000000" w:sz="12" w:space="0"/>
            <w:insideH w:val="single" w:color="auto" w:sz="2" w:space="0"/>
            <w:insideV w:val="single" w:color="auto" w:sz="2" w:space="0"/>
          </w:tblBorders>
          <w:tblCellMar>
            <w:top w:w="0" w:type="dxa"/>
            <w:left w:w="11" w:type="dxa"/>
            <w:bottom w:w="0" w:type="dxa"/>
            <w:right w:w="11" w:type="dxa"/>
          </w:tblCellMar>
        </w:tblPrEx>
        <w:trPr>
          <w:trHeight w:val="345" w:hRule="atLeast"/>
          <w:jc w:val="center"/>
        </w:trPr>
        <w:tc>
          <w:tcPr>
            <w:tcW w:w="2321" w:type="pct"/>
            <w:tcBorders>
              <w:left w:val="single" w:color="000000" w:sz="12" w:space="0"/>
              <w:bottom w:val="single" w:color="000000" w:sz="12"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钢筋弯起点位置</w:t>
            </w:r>
          </w:p>
        </w:tc>
        <w:tc>
          <w:tcPr>
            <w:tcW w:w="1160" w:type="pct"/>
            <w:tcBorders>
              <w:bottom w:val="single" w:color="000000" w:sz="12"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20</w:t>
            </w:r>
          </w:p>
        </w:tc>
        <w:tc>
          <w:tcPr>
            <w:tcW w:w="1517" w:type="pct"/>
            <w:tcBorders>
              <w:bottom w:val="single" w:color="000000" w:sz="12" w:space="0"/>
              <w:right w:val="single" w:color="000000" w:sz="12" w:space="0"/>
              <w:tl2br w:val="nil"/>
              <w:tr2bl w:val="nil"/>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bl>
    <w:p>
      <w:pPr>
        <w:keepNext w:val="0"/>
        <w:keepLines w:val="0"/>
        <w:pageBreakBefore w:val="0"/>
        <w:widowControl w:val="0"/>
        <w:kinsoku/>
        <w:wordWrap/>
        <w:overflowPunct/>
        <w:topLinePunct w:val="0"/>
        <w:autoSpaceDE/>
        <w:autoSpaceDN/>
        <w:bidi w:val="0"/>
        <w:adjustRightInd/>
        <w:snapToGrid/>
        <w:spacing w:before="334" w:beforeLines="100" w:line="240" w:lineRule="auto"/>
        <w:textAlignment w:val="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default"/>
          <w:b w:val="0"/>
          <w:bCs w:val="0"/>
          <w:highlight w:val="none"/>
        </w:rPr>
        <w:t xml:space="preserve">  </w:t>
      </w:r>
      <w:r>
        <w:rPr>
          <w:rFonts w:hint="eastAsia" w:ascii="Times New Roman" w:hAnsi="Times New Roman" w:eastAsia="宋体" w:cs="Times New Roman"/>
          <w:szCs w:val="21"/>
          <w:highlight w:val="none"/>
        </w:rPr>
        <w:t>钢筋笼和钢筋网片宜采用专用钢筋定位件，入模时应符合下列要求：</w:t>
      </w:r>
      <w:bookmarkEnd w:id="201"/>
    </w:p>
    <w:p>
      <w:pPr>
        <w:spacing w:line="240" w:lineRule="auto"/>
        <w:ind w:firstLine="440" w:firstLineChars="200"/>
        <w:outlineLvl w:val="9"/>
        <w:rPr>
          <w:rFonts w:hint="eastAsia" w:ascii="Times New Roman" w:hAnsi="Times New Roman" w:eastAsia="宋体" w:cs="Times New Roman"/>
          <w:szCs w:val="21"/>
          <w:highlight w:val="none"/>
        </w:rPr>
      </w:pPr>
      <w:bookmarkStart w:id="202" w:name="_Toc462409513"/>
      <w:bookmarkStart w:id="203" w:name="_Toc22998"/>
      <w:bookmarkStart w:id="204" w:name="_Toc2089"/>
      <w:r>
        <w:rPr>
          <w:rFonts w:hint="eastAsia" w:ascii="Times New Roman" w:hAnsi="Times New Roman" w:eastAsia="宋体" w:cs="Times New Roman"/>
          <w:b/>
          <w:bCs/>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钢筋笼入模时应平直、无损伤，表面不应有油污或锈蚀；</w:t>
      </w:r>
      <w:bookmarkEnd w:id="202"/>
      <w:bookmarkEnd w:id="203"/>
      <w:bookmarkEnd w:id="204"/>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钢筋笼尺寸应准确，吊点设置应合理，吊运时应采用专用吊架进行吊运；</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保护层垫块应采用标准成品垫块，且宜与钢筋笼或网片固定；垫块宜按梅花状布置，垫块间距满足钢筋变形控制要求；</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应采取防止钢筋笼变形的有效措施，如减小钢筋绑扎不牢固，箍筋滑移歪斜等带来的不利影响；</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应按设计文件安装连接套筒、拉结件、预埋件等配件，钢筋笼和钢筋网片注意避让；</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6</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钢筋笼或钢筋网片装入模具后，应按设计文件要求对钢筋规格、位置、间距、保护层厚度等进行检查。</w:t>
      </w:r>
      <w:bookmarkStart w:id="205" w:name="_Toc462409515"/>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206" w:name="_Toc3111"/>
      <w:bookmarkStart w:id="207" w:name="_Toc116581564"/>
      <w:bookmarkStart w:id="208" w:name="_Toc12347"/>
      <w:bookmarkStart w:id="209" w:name="_Toc2660"/>
      <w:bookmarkStart w:id="210" w:name="_Toc154586185"/>
      <w:bookmarkStart w:id="211" w:name="_Toc116895376"/>
      <w:bookmarkStart w:id="212" w:name="_Toc153205491"/>
      <w:bookmarkStart w:id="213" w:name="_Toc143007021"/>
      <w:r>
        <w:rPr>
          <w:rFonts w:hint="eastAsia" w:ascii="Times New Roman" w:hAnsi="Times New Roman" w:eastAsia="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Times New Roman" w:hAnsi="Times New Roman" w:eastAsia="宋体"/>
          <w:sz w:val="21"/>
          <w:szCs w:val="21"/>
          <w:highlight w:val="none"/>
          <w:lang w:val="en-US" w:eastAsia="zh-CN"/>
        </w:rPr>
        <w:t>4</w:t>
      </w:r>
      <w:r>
        <w:rPr>
          <w:rFonts w:hint="eastAsia" w:ascii="黑体" w:hAnsi="黑体" w:eastAsia="黑体"/>
          <w:b w:val="0"/>
          <w:sz w:val="21"/>
          <w:szCs w:val="21"/>
          <w:highlight w:val="none"/>
          <w:lang w:val="en-US" w:eastAsia="zh-CN"/>
        </w:rPr>
        <w:t xml:space="preserve">  预留和预埋</w:t>
      </w:r>
      <w:bookmarkEnd w:id="206"/>
      <w:bookmarkEnd w:id="207"/>
      <w:bookmarkEnd w:id="208"/>
      <w:bookmarkEnd w:id="209"/>
      <w:bookmarkEnd w:id="210"/>
      <w:bookmarkEnd w:id="211"/>
      <w:bookmarkEnd w:id="212"/>
      <w:bookmarkEnd w:id="213"/>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default"/>
          <w:b w:val="0"/>
          <w:bCs w:val="0"/>
          <w:highlight w:val="none"/>
        </w:rPr>
        <w:t xml:space="preserve">  </w:t>
      </w:r>
      <w:r>
        <w:rPr>
          <w:rFonts w:hint="eastAsia" w:ascii="Times New Roman" w:hAnsi="Times New Roman" w:eastAsia="宋体" w:cs="Times New Roman"/>
          <w:szCs w:val="21"/>
          <w:highlight w:val="none"/>
        </w:rPr>
        <w:t>连接套筒、预埋件、拉结件、预留孔洞套管等配件应按设计文件进行加工配置</w:t>
      </w:r>
      <w:bookmarkStart w:id="214" w:name="_Toc462409521"/>
      <w:r>
        <w:rPr>
          <w:rFonts w:hint="eastAsia" w:ascii="Times New Roman" w:hAnsi="Times New Roman" w:eastAsia="宋体" w:cs="Times New Roman"/>
          <w:szCs w:val="21"/>
          <w:highlight w:val="none"/>
        </w:rPr>
        <w:t>，并满足吊装及施工的安全性、耐久性和稳定性要求。</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default"/>
          <w:b w:val="0"/>
          <w:bCs w:val="0"/>
          <w:highlight w:val="none"/>
        </w:rPr>
        <w:t xml:space="preserve">  </w:t>
      </w:r>
      <w:r>
        <w:rPr>
          <w:rFonts w:hint="eastAsia" w:ascii="Times New Roman" w:hAnsi="Times New Roman" w:eastAsia="宋体" w:cs="Times New Roman"/>
          <w:szCs w:val="21"/>
          <w:highlight w:val="none"/>
        </w:rPr>
        <w:t>预留和预埋件除应满足设计要求外，还应符合厂家提供的允许误差和施工允许误差的要求</w:t>
      </w:r>
      <w:bookmarkEnd w:id="214"/>
      <w:r>
        <w:rPr>
          <w:rFonts w:hint="eastAsia" w:ascii="Times New Roman" w:hAnsi="Times New Roman" w:eastAsia="宋体" w:cs="Times New Roman"/>
          <w:szCs w:val="21"/>
          <w:highlight w:val="none"/>
        </w:rPr>
        <w:t>，如表6</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4</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3所示：</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eastAsia" w:ascii="Times New Roman" w:hAnsi="Times New Roman" w:eastAsia="黑体" w:cs="Times New Roman"/>
          <w:b/>
          <w:bCs/>
          <w:sz w:val="18"/>
          <w:szCs w:val="18"/>
          <w:highlight w:val="none"/>
        </w:rPr>
        <w:t>6</w:t>
      </w:r>
      <w:r>
        <w:rPr>
          <w:rFonts w:hint="eastAsia" w:ascii="黑体" w:hAnsi="黑体" w:eastAsia="黑体" w:cs="黑体"/>
          <w:b/>
          <w:bCs/>
          <w:sz w:val="18"/>
          <w:szCs w:val="18"/>
          <w:highlight w:val="none"/>
        </w:rPr>
        <w:t>.</w:t>
      </w:r>
      <w:r>
        <w:rPr>
          <w:rFonts w:hint="eastAsia" w:ascii="Times New Roman" w:hAnsi="Times New Roman" w:eastAsia="黑体" w:cs="Times New Roman"/>
          <w:b/>
          <w:bCs/>
          <w:sz w:val="18"/>
          <w:szCs w:val="18"/>
          <w:highlight w:val="none"/>
        </w:rPr>
        <w:t>4</w:t>
      </w:r>
      <w:r>
        <w:rPr>
          <w:rFonts w:hint="eastAsia" w:ascii="黑体" w:hAnsi="黑体" w:eastAsia="黑体" w:cs="黑体"/>
          <w:b/>
          <w:bCs/>
          <w:sz w:val="18"/>
          <w:szCs w:val="18"/>
          <w:highlight w:val="none"/>
        </w:rPr>
        <w:t>.</w:t>
      </w:r>
      <w:r>
        <w:rPr>
          <w:rFonts w:hint="eastAsia" w:ascii="Times New Roman" w:hAnsi="Times New Roman" w:eastAsia="黑体" w:cs="Times New Roman"/>
          <w:b/>
          <w:bCs/>
          <w:sz w:val="18"/>
          <w:szCs w:val="18"/>
          <w:highlight w:val="none"/>
        </w:rPr>
        <w:t>3</w:t>
      </w:r>
      <w:r>
        <w:rPr>
          <w:rFonts w:hint="eastAsia" w:ascii="黑体" w:hAnsi="黑体" w:eastAsia="黑体" w:cs="黑体"/>
          <w:sz w:val="18"/>
          <w:szCs w:val="18"/>
          <w:highlight w:val="none"/>
        </w:rPr>
        <w:t xml:space="preserve"> </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连接套筒、预埋件、拉结件、预留孔洞中心位置的允许偏差</w:t>
      </w:r>
    </w:p>
    <w:tbl>
      <w:tblPr>
        <w:tblStyle w:val="12"/>
        <w:tblW w:w="4999" w:type="pct"/>
        <w:jc w:val="center"/>
        <w:tblLayout w:type="autofit"/>
        <w:tblCellMar>
          <w:top w:w="0" w:type="dxa"/>
          <w:left w:w="11" w:type="dxa"/>
          <w:bottom w:w="0" w:type="dxa"/>
          <w:right w:w="11" w:type="dxa"/>
        </w:tblCellMar>
      </w:tblPr>
      <w:tblGrid>
        <w:gridCol w:w="4739"/>
        <w:gridCol w:w="2452"/>
        <w:gridCol w:w="2101"/>
      </w:tblGrid>
      <w:tr>
        <w:tblPrEx>
          <w:tblCellMar>
            <w:top w:w="0" w:type="dxa"/>
            <w:left w:w="11" w:type="dxa"/>
            <w:bottom w:w="0" w:type="dxa"/>
            <w:right w:w="11" w:type="dxa"/>
          </w:tblCellMar>
        </w:tblPrEx>
        <w:trPr>
          <w:trHeight w:val="495" w:hRule="exact"/>
          <w:jc w:val="center"/>
        </w:trPr>
        <w:tc>
          <w:tcPr>
            <w:tcW w:w="2549" w:type="pct"/>
            <w:tcBorders>
              <w:top w:val="single" w:color="000000" w:sz="12" w:space="0"/>
              <w:left w:val="single" w:color="000000" w:sz="12" w:space="0"/>
              <w:bottom w:val="single" w:color="1F1F1F" w:sz="2" w:space="0"/>
              <w:right w:val="single" w:color="646464"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项目</w:t>
            </w:r>
          </w:p>
        </w:tc>
        <w:tc>
          <w:tcPr>
            <w:tcW w:w="1319" w:type="pct"/>
            <w:tcBorders>
              <w:top w:val="single" w:color="000000" w:sz="12" w:space="0"/>
              <w:left w:val="single" w:color="646464" w:sz="4" w:space="0"/>
              <w:bottom w:val="single" w:color="1F1F1F" w:sz="2" w:space="0"/>
              <w:right w:val="single" w:color="1F1F1F" w:sz="2" w:space="0"/>
            </w:tcBorders>
            <w:vAlign w:val="center"/>
          </w:tcPr>
          <w:p>
            <w:pPr>
              <w:spacing w:line="240" w:lineRule="auto"/>
              <w:jc w:val="center"/>
              <w:rPr>
                <w:rFonts w:hint="eastAsia" w:ascii="Times New Roman" w:hAnsi="Times New Roman" w:eastAsia="宋体" w:cs="Times New Roman"/>
                <w:sz w:val="15"/>
                <w:szCs w:val="15"/>
                <w:highlight w:val="none"/>
                <w:lang w:eastAsia="zh-CN"/>
              </w:rPr>
            </w:pPr>
            <w:r>
              <w:rPr>
                <w:rFonts w:hint="eastAsia" w:ascii="Times New Roman" w:hAnsi="Times New Roman" w:eastAsia="宋体" w:cs="Times New Roman"/>
                <w:sz w:val="15"/>
                <w:szCs w:val="15"/>
                <w:highlight w:val="none"/>
              </w:rPr>
              <w:t>允许偏差</w:t>
            </w:r>
            <w:r>
              <w:rPr>
                <w:rFonts w:hint="eastAsia" w:cs="Times New Roman"/>
                <w:sz w:val="15"/>
                <w:szCs w:val="15"/>
                <w:highlight w:val="none"/>
                <w:lang w:eastAsia="zh-CN"/>
              </w:rPr>
              <w:t>（</w:t>
            </w:r>
            <w:r>
              <w:rPr>
                <w:rFonts w:hint="eastAsia" w:ascii="Times New Roman" w:hAnsi="Times New Roman" w:eastAsia="宋体" w:cs="Times New Roman"/>
                <w:sz w:val="15"/>
                <w:szCs w:val="15"/>
                <w:highlight w:val="none"/>
              </w:rPr>
              <w:t>mm</w:t>
            </w:r>
            <w:r>
              <w:rPr>
                <w:rFonts w:hint="eastAsia" w:cs="Times New Roman"/>
                <w:sz w:val="15"/>
                <w:szCs w:val="15"/>
                <w:highlight w:val="none"/>
                <w:lang w:eastAsia="zh-CN"/>
              </w:rPr>
              <w:t>）</w:t>
            </w:r>
          </w:p>
        </w:tc>
        <w:tc>
          <w:tcPr>
            <w:tcW w:w="1130" w:type="pct"/>
            <w:tcBorders>
              <w:top w:val="single" w:color="000000" w:sz="12" w:space="0"/>
              <w:left w:val="single" w:color="1F1F1F" w:sz="2" w:space="0"/>
              <w:bottom w:val="single" w:color="1F1F1F"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检验方法</w:t>
            </w:r>
          </w:p>
        </w:tc>
      </w:tr>
      <w:tr>
        <w:trPr>
          <w:trHeight w:val="390" w:hRule="exact"/>
          <w:jc w:val="center"/>
        </w:trPr>
        <w:tc>
          <w:tcPr>
            <w:tcW w:w="2549" w:type="pct"/>
            <w:tcBorders>
              <w:top w:val="single" w:color="1F1F1F" w:sz="2" w:space="0"/>
              <w:left w:val="single" w:color="000000" w:sz="12" w:space="0"/>
              <w:bottom w:val="single" w:color="606060" w:sz="4" w:space="0"/>
              <w:right w:val="single" w:color="646464"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预埋件、拉结件、插筋、吊环、预留孔洞中心线位置</w:t>
            </w:r>
          </w:p>
        </w:tc>
        <w:tc>
          <w:tcPr>
            <w:tcW w:w="1319" w:type="pct"/>
            <w:tcBorders>
              <w:top w:val="single" w:color="1F1F1F" w:sz="2" w:space="0"/>
              <w:left w:val="single" w:color="646464" w:sz="4" w:space="0"/>
              <w:bottom w:val="single" w:color="606060" w:sz="4" w:space="0"/>
              <w:right w:val="single" w:color="1F1F1F"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w:t>
            </w:r>
          </w:p>
        </w:tc>
        <w:tc>
          <w:tcPr>
            <w:tcW w:w="1130" w:type="pct"/>
            <w:tcBorders>
              <w:top w:val="single" w:color="1F1F1F" w:sz="2" w:space="0"/>
              <w:left w:val="single" w:color="1F1F1F" w:sz="2" w:space="0"/>
              <w:bottom w:val="single" w:color="60606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r>
        <w:tblPrEx>
          <w:tblCellMar>
            <w:top w:w="0" w:type="dxa"/>
            <w:left w:w="11" w:type="dxa"/>
            <w:bottom w:w="0" w:type="dxa"/>
            <w:right w:w="11" w:type="dxa"/>
          </w:tblCellMar>
        </w:tblPrEx>
        <w:trPr>
          <w:trHeight w:val="317" w:hRule="exact"/>
          <w:jc w:val="center"/>
        </w:trPr>
        <w:tc>
          <w:tcPr>
            <w:tcW w:w="2549" w:type="pct"/>
            <w:tcBorders>
              <w:top w:val="single" w:color="606060" w:sz="4" w:space="0"/>
              <w:left w:val="single" w:color="000000" w:sz="12" w:space="0"/>
              <w:bottom w:val="single" w:color="676767" w:sz="4" w:space="0"/>
              <w:right w:val="single" w:color="646464"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预埋螺栓、螺母中心线位置</w:t>
            </w:r>
          </w:p>
        </w:tc>
        <w:tc>
          <w:tcPr>
            <w:tcW w:w="1319" w:type="pct"/>
            <w:tcBorders>
              <w:top w:val="single" w:color="606060" w:sz="4" w:space="0"/>
              <w:left w:val="single" w:color="646464" w:sz="4" w:space="0"/>
              <w:bottom w:val="single" w:color="676767" w:sz="4" w:space="0"/>
              <w:right w:val="single" w:color="1F1F1F"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w:t>
            </w:r>
          </w:p>
        </w:tc>
        <w:tc>
          <w:tcPr>
            <w:tcW w:w="1130" w:type="pct"/>
            <w:tcBorders>
              <w:top w:val="single" w:color="606060" w:sz="4" w:space="0"/>
              <w:left w:val="single" w:color="1F1F1F" w:sz="2" w:space="0"/>
              <w:bottom w:val="single" w:color="676767"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r>
        <w:trPr>
          <w:trHeight w:val="322" w:hRule="exact"/>
          <w:jc w:val="center"/>
        </w:trPr>
        <w:tc>
          <w:tcPr>
            <w:tcW w:w="2549" w:type="pct"/>
            <w:tcBorders>
              <w:top w:val="single" w:color="676767" w:sz="4" w:space="0"/>
              <w:left w:val="single" w:color="000000" w:sz="12" w:space="0"/>
              <w:bottom w:val="single" w:color="000000" w:sz="12" w:space="0"/>
              <w:right w:val="single" w:color="646464"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套筒中心线位置</w:t>
            </w:r>
          </w:p>
        </w:tc>
        <w:tc>
          <w:tcPr>
            <w:tcW w:w="1319" w:type="pct"/>
            <w:tcBorders>
              <w:top w:val="single" w:color="676767" w:sz="4" w:space="0"/>
              <w:left w:val="single" w:color="646464" w:sz="4" w:space="0"/>
              <w:bottom w:val="single" w:color="000000" w:sz="12" w:space="0"/>
              <w:right w:val="single" w:color="1F1F1F"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w:t>
            </w:r>
          </w:p>
        </w:tc>
        <w:tc>
          <w:tcPr>
            <w:tcW w:w="1130" w:type="pct"/>
            <w:tcBorders>
              <w:top w:val="single" w:color="676767" w:sz="4" w:space="0"/>
              <w:left w:val="single" w:color="1F1F1F" w:sz="2" w:space="0"/>
              <w:bottom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钢尺检查</w:t>
            </w:r>
          </w:p>
        </w:tc>
      </w:tr>
    </w:tbl>
    <w:p>
      <w:pPr>
        <w:keepNext w:val="0"/>
        <w:keepLines w:val="0"/>
        <w:pageBreakBefore w:val="0"/>
        <w:widowControl w:val="0"/>
        <w:kinsoku/>
        <w:wordWrap/>
        <w:overflowPunct/>
        <w:topLinePunct w:val="0"/>
        <w:autoSpaceDE/>
        <w:autoSpaceDN/>
        <w:bidi w:val="0"/>
        <w:adjustRightInd/>
        <w:snapToGrid/>
        <w:spacing w:before="334" w:beforeLines="100" w:line="240" w:lineRule="auto"/>
        <w:textAlignment w:val="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default"/>
          <w:b w:val="0"/>
          <w:bCs w:val="0"/>
          <w:highlight w:val="none"/>
        </w:rPr>
        <w:t xml:space="preserve">  </w:t>
      </w:r>
      <w:r>
        <w:rPr>
          <w:rFonts w:hint="eastAsia" w:ascii="Times New Roman" w:hAnsi="Times New Roman" w:eastAsia="宋体" w:cs="Times New Roman"/>
          <w:szCs w:val="21"/>
          <w:highlight w:val="none"/>
        </w:rPr>
        <w:t>灌浆套筒、螺栓套筒、注浆管、机电线盒、线管等预埋件应采取防堵塞、脱落、移位等措施。</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default"/>
          <w:b w:val="0"/>
          <w:bCs w:val="0"/>
          <w:highlight w:val="none"/>
        </w:rPr>
        <w:t xml:space="preserve">  </w:t>
      </w:r>
      <w:r>
        <w:rPr>
          <w:rFonts w:hint="eastAsia" w:ascii="Times New Roman" w:hAnsi="Times New Roman" w:eastAsia="宋体" w:cs="Times New Roman"/>
          <w:szCs w:val="21"/>
          <w:highlight w:val="none"/>
        </w:rPr>
        <w:t>预埋门窗框或钢附框时，应在模具上设置限位装置进行固定，并应考虑预埋的深度以及与防雷工程的接驳措施等。此外，门窗框还应考虑门窗的开启方向。</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default"/>
          <w:b w:val="0"/>
          <w:bCs w:val="0"/>
          <w:highlight w:val="none"/>
        </w:rPr>
        <w:t xml:space="preserve">  </w:t>
      </w:r>
      <w:r>
        <w:rPr>
          <w:rFonts w:hint="eastAsia" w:ascii="Times New Roman" w:hAnsi="Times New Roman" w:eastAsia="宋体" w:cs="Times New Roman"/>
          <w:szCs w:val="21"/>
          <w:highlight w:val="none"/>
        </w:rPr>
        <w:t>预埋件设计及加工应考虑厂内生产时的临时固定措施，如预埋钢板增加临时螺栓孔位加固等。</w:t>
      </w:r>
    </w:p>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textAlignment w:val="auto"/>
        <w:rPr>
          <w:rFonts w:hint="eastAsia" w:ascii="Times New Roman" w:hAnsi="Times New Roman" w:eastAsia="宋体" w:cs="Times New Roman"/>
          <w:kern w:val="2"/>
          <w:sz w:val="21"/>
          <w:szCs w:val="21"/>
          <w:highlight w:val="none"/>
          <w:lang w:val="en-US" w:eastAsia="zh-CN" w:bidi="ar-SA"/>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default" w:ascii="Times New Roman" w:hAnsi="Times New Roman" w:cs="Times New Roman"/>
          <w:b/>
          <w:bCs/>
          <w:kern w:val="2"/>
          <w:sz w:val="21"/>
          <w:szCs w:val="21"/>
          <w:highlight w:val="none"/>
          <w:lang w:val="en-US" w:eastAsia="zh-CN" w:bidi="ar-SA"/>
        </w:rPr>
        <w:t>6</w:t>
      </w:r>
      <w:r>
        <w:rPr>
          <w:rFonts w:hint="eastAsia" w:ascii="Times New Roman" w:hAnsi="Times New Roman" w:eastAsia="宋体" w:cs="Times New Roman"/>
          <w:kern w:val="2"/>
          <w:sz w:val="21"/>
          <w:szCs w:val="21"/>
          <w:highlight w:val="none"/>
          <w:lang w:val="en-US" w:eastAsia="zh-CN" w:bidi="ar-SA"/>
        </w:rPr>
        <w:t xml:space="preserve">  预制混凝土构件生产宜通过预埋RFID芯片等技术，实现构件信息的数字化采集和管理。</w:t>
      </w:r>
    </w:p>
    <w:bookmarkEnd w:id="205"/>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215" w:name="_Toc17273"/>
      <w:bookmarkStart w:id="216" w:name="_Toc3344"/>
      <w:bookmarkStart w:id="217" w:name="_Toc389227366"/>
      <w:bookmarkStart w:id="218" w:name="_Toc17759"/>
      <w:bookmarkStart w:id="219" w:name="_Toc462409522"/>
      <w:bookmarkStart w:id="220" w:name="_Toc4403"/>
      <w:bookmarkStart w:id="221" w:name="_Toc387912835"/>
      <w:bookmarkStart w:id="222" w:name="_Toc24466"/>
      <w:bookmarkStart w:id="223" w:name="_Toc393377994"/>
      <w:bookmarkStart w:id="224" w:name="_Toc25181"/>
      <w:bookmarkStart w:id="225" w:name="_Toc9485"/>
      <w:bookmarkStart w:id="226" w:name="_Toc14439"/>
      <w:bookmarkStart w:id="227" w:name="_Toc382558668"/>
      <w:bookmarkStart w:id="228" w:name="_Toc14598"/>
      <w:bookmarkStart w:id="229" w:name="_Toc4400"/>
      <w:bookmarkStart w:id="230" w:name="_Toc24520"/>
      <w:bookmarkStart w:id="231" w:name="_Toc143007022"/>
      <w:bookmarkStart w:id="232" w:name="_Toc9535"/>
      <w:bookmarkStart w:id="233" w:name="_Toc154586186"/>
      <w:bookmarkStart w:id="234" w:name="_Toc11160013"/>
      <w:bookmarkStart w:id="235" w:name="_Toc116581565"/>
      <w:bookmarkStart w:id="236" w:name="_Toc28969"/>
      <w:bookmarkStart w:id="237" w:name="_Toc153205492"/>
      <w:bookmarkStart w:id="238" w:name="_Toc13079"/>
      <w:bookmarkStart w:id="239" w:name="_Toc116895377"/>
      <w:r>
        <w:rPr>
          <w:rFonts w:hint="eastAsia" w:ascii="Times New Roman" w:hAnsi="Times New Roman" w:eastAsia="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Times New Roman" w:hAnsi="Times New Roman" w:eastAsia="宋体"/>
          <w:sz w:val="21"/>
          <w:szCs w:val="21"/>
          <w:highlight w:val="none"/>
          <w:lang w:val="en-US" w:eastAsia="zh-CN"/>
        </w:rPr>
        <w:t>5</w:t>
      </w:r>
      <w:r>
        <w:rPr>
          <w:rFonts w:hint="eastAsia" w:ascii="黑体" w:hAnsi="黑体" w:eastAsia="黑体"/>
          <w:b w:val="0"/>
          <w:sz w:val="21"/>
          <w:szCs w:val="21"/>
          <w:highlight w:val="none"/>
          <w:lang w:val="en-US" w:eastAsia="zh-CN"/>
        </w:rPr>
        <w:t xml:space="preserve">  混凝土</w:t>
      </w:r>
      <w:r>
        <w:rPr>
          <w:rFonts w:hint="eastAsia" w:ascii="黑体" w:hAnsi="黑体" w:eastAsia="黑体" w:cs="黑体"/>
          <w:b w:val="0"/>
          <w:bCs/>
          <w:kern w:val="2"/>
          <w:sz w:val="21"/>
          <w:szCs w:val="21"/>
          <w:highlight w:val="none"/>
          <w:lang w:val="en-US" w:eastAsia="zh-CN" w:bidi="ar-SA"/>
        </w:rPr>
        <w:t>浇筑</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Fonts w:hint="eastAsia" w:ascii="黑体" w:hAnsi="黑体" w:eastAsia="黑体"/>
          <w:b w:val="0"/>
          <w:sz w:val="21"/>
          <w:szCs w:val="21"/>
          <w:highlight w:val="none"/>
          <w:lang w:val="en-US" w:eastAsia="zh-CN"/>
        </w:rPr>
        <w:t>与养护</w:t>
      </w:r>
      <w:bookmarkEnd w:id="231"/>
      <w:bookmarkEnd w:id="232"/>
      <w:bookmarkEnd w:id="233"/>
      <w:bookmarkEnd w:id="234"/>
      <w:bookmarkEnd w:id="235"/>
      <w:bookmarkEnd w:id="236"/>
      <w:bookmarkEnd w:id="237"/>
      <w:bookmarkEnd w:id="238"/>
      <w:bookmarkEnd w:id="239"/>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default"/>
          <w:b w:val="0"/>
          <w:bCs w:val="0"/>
          <w:highlight w:val="none"/>
        </w:rPr>
        <w:t xml:space="preserve">  </w:t>
      </w:r>
      <w:r>
        <w:rPr>
          <w:rFonts w:hint="eastAsia" w:ascii="Times New Roman" w:hAnsi="Times New Roman" w:eastAsia="宋体" w:cs="Times New Roman"/>
          <w:szCs w:val="21"/>
          <w:highlight w:val="none"/>
        </w:rPr>
        <w:t>混凝土浇筑前，应对隐蔽工程项目进行隐蔽验收，验收合格后方可进行混凝土浇筑。</w:t>
      </w:r>
    </w:p>
    <w:p>
      <w:pPr>
        <w:spacing w:line="240" w:lineRule="auto"/>
        <w:rPr>
          <w:rFonts w:hint="eastAsia" w:ascii="Times New Roman" w:hAnsi="Times New Roman" w:eastAsia="宋体" w:cs="Times New Roman"/>
          <w:szCs w:val="21"/>
          <w:highlight w:val="none"/>
        </w:rPr>
      </w:pPr>
      <w:bookmarkStart w:id="240" w:name="_Toc462409524"/>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default"/>
          <w:b w:val="0"/>
          <w:bCs w:val="0"/>
          <w:highlight w:val="none"/>
        </w:rPr>
        <w:t xml:space="preserve">  </w:t>
      </w:r>
      <w:r>
        <w:rPr>
          <w:rFonts w:hint="eastAsia" w:ascii="Times New Roman" w:hAnsi="Times New Roman" w:eastAsia="宋体" w:cs="Times New Roman"/>
          <w:szCs w:val="21"/>
          <w:highlight w:val="none"/>
        </w:rPr>
        <w:t>混凝土工作性能指标应根据预制混凝土构件产品特点和生产工艺确定，并符合本标准第4章4.3节的有关规定。</w:t>
      </w:r>
      <w:bookmarkEnd w:id="240"/>
    </w:p>
    <w:p>
      <w:pPr>
        <w:spacing w:line="240" w:lineRule="auto"/>
        <w:rPr>
          <w:rFonts w:hint="eastAsia" w:ascii="Times New Roman" w:hAnsi="Times New Roman" w:eastAsia="宋体" w:cs="Times New Roman"/>
          <w:szCs w:val="21"/>
          <w:highlight w:val="none"/>
        </w:rPr>
      </w:pPr>
      <w:bookmarkStart w:id="241" w:name="_Toc462409528"/>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default"/>
          <w:b w:val="0"/>
          <w:bCs w:val="0"/>
          <w:highlight w:val="none"/>
        </w:rPr>
        <w:t xml:space="preserve">  </w:t>
      </w:r>
      <w:r>
        <w:rPr>
          <w:rFonts w:hint="eastAsia" w:ascii="Times New Roman" w:hAnsi="Times New Roman" w:eastAsia="宋体" w:cs="Times New Roman"/>
          <w:szCs w:val="21"/>
          <w:highlight w:val="none"/>
        </w:rPr>
        <w:t>混凝土应采用有自动计量装置的强制式搅拌机搅拌，并应具有生产数据逐盘记录和实时查询功能。混凝土应按照混凝土配合比通知单进行配置生产，原材料每盘称量的允许偏差应满足表6</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5</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3的规定。</w:t>
      </w:r>
      <w:bookmarkEnd w:id="241"/>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6</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5</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黑体" w:hAnsi="黑体" w:eastAsia="黑体" w:cs="黑体"/>
          <w:sz w:val="18"/>
          <w:szCs w:val="18"/>
          <w:highlight w:val="none"/>
        </w:rPr>
        <w:t xml:space="preserve">  混凝土原材料每盘称量的允许偏差（%）</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225"/>
        <w:gridCol w:w="4719"/>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5" w:hRule="exact"/>
          <w:jc w:val="center"/>
        </w:trPr>
        <w:tc>
          <w:tcPr>
            <w:tcW w:w="659" w:type="pct"/>
            <w:tcBorders>
              <w:top w:val="single" w:color="000000" w:sz="12" w:space="0"/>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项次</w:t>
            </w:r>
          </w:p>
        </w:tc>
        <w:tc>
          <w:tcPr>
            <w:tcW w:w="2539" w:type="pc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材料名称</w:t>
            </w:r>
          </w:p>
        </w:tc>
        <w:tc>
          <w:tcPr>
            <w:tcW w:w="1800" w:type="pct"/>
            <w:tcBorders>
              <w:top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8" w:hRule="exact"/>
          <w:jc w:val="center"/>
        </w:trPr>
        <w:tc>
          <w:tcPr>
            <w:tcW w:w="659"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w:t>
            </w:r>
          </w:p>
        </w:tc>
        <w:tc>
          <w:tcPr>
            <w:tcW w:w="2539"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胶凝材料</w:t>
            </w:r>
          </w:p>
        </w:tc>
        <w:tc>
          <w:tcPr>
            <w:tcW w:w="1800"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8" w:hRule="exact"/>
          <w:jc w:val="center"/>
        </w:trPr>
        <w:tc>
          <w:tcPr>
            <w:tcW w:w="659"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w:t>
            </w:r>
          </w:p>
        </w:tc>
        <w:tc>
          <w:tcPr>
            <w:tcW w:w="2539"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粗、细骨料</w:t>
            </w:r>
          </w:p>
        </w:tc>
        <w:tc>
          <w:tcPr>
            <w:tcW w:w="1800"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8" w:hRule="exact"/>
          <w:jc w:val="center"/>
        </w:trPr>
        <w:tc>
          <w:tcPr>
            <w:tcW w:w="659" w:type="pct"/>
            <w:tcBorders>
              <w:left w:val="single" w:color="000000" w:sz="12" w:space="0"/>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w:t>
            </w:r>
          </w:p>
        </w:tc>
        <w:tc>
          <w:tcPr>
            <w:tcW w:w="2539" w:type="pct"/>
            <w:tcBorders>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水、外加剂</w:t>
            </w:r>
          </w:p>
        </w:tc>
        <w:tc>
          <w:tcPr>
            <w:tcW w:w="1800" w:type="pct"/>
            <w:tcBorders>
              <w:bottom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w:t>
            </w:r>
          </w:p>
        </w:tc>
      </w:tr>
    </w:tbl>
    <w:p>
      <w:pPr>
        <w:keepNext w:val="0"/>
        <w:keepLines w:val="0"/>
        <w:pageBreakBefore w:val="0"/>
        <w:widowControl w:val="0"/>
        <w:kinsoku/>
        <w:wordWrap/>
        <w:overflowPunct/>
        <w:topLinePunct w:val="0"/>
        <w:autoSpaceDE/>
        <w:autoSpaceDN/>
        <w:bidi w:val="0"/>
        <w:adjustRightInd/>
        <w:snapToGrid/>
        <w:spacing w:before="334" w:beforeLines="100" w:line="240" w:lineRule="auto"/>
        <w:textAlignment w:val="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default"/>
          <w:b w:val="0"/>
          <w:bCs w:val="0"/>
          <w:highlight w:val="none"/>
        </w:rPr>
        <w:t xml:space="preserve">  </w:t>
      </w:r>
      <w:r>
        <w:rPr>
          <w:rFonts w:hint="eastAsia" w:ascii="Times New Roman" w:hAnsi="Times New Roman" w:eastAsia="宋体" w:cs="Times New Roman"/>
          <w:szCs w:val="21"/>
          <w:highlight w:val="none"/>
        </w:rPr>
        <w:t>混凝土应进行抗压强度检测，并符合下列规定：</w:t>
      </w:r>
    </w:p>
    <w:p>
      <w:pPr>
        <w:spacing w:line="240" w:lineRule="auto"/>
        <w:ind w:firstLine="440" w:firstLineChars="200"/>
        <w:outlineLvl w:val="9"/>
        <w:rPr>
          <w:rFonts w:hint="eastAsia" w:ascii="Times New Roman" w:hAnsi="Times New Roman" w:eastAsia="宋体" w:cs="Times New Roman"/>
          <w:szCs w:val="21"/>
          <w:highlight w:val="none"/>
        </w:rPr>
      </w:pPr>
      <w:bookmarkStart w:id="242" w:name="_Toc18519"/>
      <w:bookmarkStart w:id="243" w:name="_Toc720"/>
      <w:r>
        <w:rPr>
          <w:rFonts w:hint="eastAsia" w:ascii="Times New Roman" w:hAnsi="Times New Roman" w:eastAsia="宋体" w:cs="Times New Roman"/>
          <w:b/>
          <w:bCs/>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混凝土检测试验应在浇筑地点取样制作；</w:t>
      </w:r>
      <w:bookmarkEnd w:id="242"/>
      <w:bookmarkEnd w:id="243"/>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每拌制100盘且不超过100</w:t>
      </w:r>
      <w:r>
        <w:rPr>
          <w:rFonts w:hint="eastAsia" w:cs="Times New Roman"/>
          <w:szCs w:val="21"/>
          <w:highlight w:val="none"/>
          <w:lang w:val="en-US" w:eastAsia="zh-CN"/>
        </w:rPr>
        <w:t>m³</w:t>
      </w:r>
      <w:r>
        <w:rPr>
          <w:rFonts w:hint="eastAsia" w:ascii="Times New Roman" w:hAnsi="Times New Roman" w:eastAsia="宋体" w:cs="Times New Roman"/>
          <w:szCs w:val="21"/>
          <w:highlight w:val="none"/>
        </w:rPr>
        <w:t>的同一配合比混凝土，取样不应少于一次；每工作班拌制的同一配合比的混凝土不足100盘时，取样不应少于一次；</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每次制作强度检验试块不少于3组</w:t>
      </w:r>
      <w:r>
        <w:rPr>
          <w:rFonts w:hint="eastAsia" w:cs="Times New Roman"/>
          <w:szCs w:val="21"/>
          <w:highlight w:val="none"/>
          <w:lang w:eastAsia="zh-CN"/>
        </w:rPr>
        <w:t>，</w:t>
      </w:r>
      <w:r>
        <w:rPr>
          <w:rFonts w:hint="eastAsia" w:ascii="Times New Roman" w:hAnsi="Times New Roman" w:eastAsia="宋体" w:cs="Times New Roman"/>
          <w:szCs w:val="21"/>
          <w:highlight w:val="none"/>
        </w:rPr>
        <w:t>随机抽取一组进行同条件养护转标准养护后进行强度检验，其余可作为同条件试件在预制混凝土构件脱模和出厂时检验其混凝土强度；还可根据预制混凝土构件吊装、张拉和放张等要求，留置足够数量的同条件混凝土试块进行强度检测；</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蒸汽养护的预制混凝土构件，其强度评定混凝土试块应随同构件蒸养后，再转入标准条件养护。构件脱模起吊的混凝土同条件养护试块，其养护条件应与构件生产中采取的养护条件相同。</w:t>
      </w:r>
    </w:p>
    <w:p>
      <w:pPr>
        <w:spacing w:line="240" w:lineRule="auto"/>
        <w:outlineLvl w:val="9"/>
        <w:rPr>
          <w:rFonts w:hint="eastAsia" w:ascii="Times New Roman" w:hAnsi="Times New Roman" w:eastAsia="宋体" w:cs="Times New Roman"/>
          <w:szCs w:val="21"/>
          <w:highlight w:val="none"/>
        </w:rPr>
      </w:pPr>
      <w:bookmarkStart w:id="244" w:name="_Toc462409525"/>
      <w:bookmarkStart w:id="245" w:name="_Toc16308"/>
      <w:bookmarkStart w:id="246" w:name="_Toc24380"/>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default"/>
          <w:b w:val="0"/>
          <w:bCs w:val="0"/>
          <w:highlight w:val="none"/>
        </w:rPr>
        <w:t xml:space="preserve">  </w:t>
      </w:r>
      <w:r>
        <w:rPr>
          <w:rFonts w:hint="eastAsia" w:ascii="Times New Roman" w:hAnsi="Times New Roman" w:eastAsia="宋体" w:cs="Times New Roman"/>
          <w:szCs w:val="21"/>
          <w:highlight w:val="none"/>
        </w:rPr>
        <w:t>混凝土浇筑时应符合下列要求：</w:t>
      </w:r>
      <w:bookmarkEnd w:id="244"/>
      <w:bookmarkEnd w:id="245"/>
      <w:bookmarkEnd w:id="246"/>
    </w:p>
    <w:p>
      <w:pPr>
        <w:spacing w:line="240" w:lineRule="auto"/>
        <w:ind w:firstLine="440" w:firstLineChars="200"/>
        <w:outlineLvl w:val="9"/>
        <w:rPr>
          <w:rFonts w:hint="eastAsia" w:ascii="Times New Roman" w:hAnsi="Times New Roman" w:eastAsia="宋体" w:cs="Times New Roman"/>
          <w:szCs w:val="21"/>
          <w:highlight w:val="none"/>
        </w:rPr>
      </w:pPr>
      <w:bookmarkStart w:id="247" w:name="_Toc13264"/>
      <w:bookmarkStart w:id="248" w:name="_Toc18577"/>
      <w:r>
        <w:rPr>
          <w:rFonts w:hint="eastAsia" w:ascii="Times New Roman" w:hAnsi="Times New Roman" w:eastAsia="宋体" w:cs="Times New Roman"/>
          <w:b/>
          <w:bCs/>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混凝土浇筑时应保证预埋件及预留钢筋的外露部不受污染；</w:t>
      </w:r>
      <w:bookmarkEnd w:id="247"/>
      <w:bookmarkEnd w:id="248"/>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混凝土浇筑时应保证模具、门窗框、预埋件、拉结件等不发生变形或移位；</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混凝土应均匀连续浇筑，投料高度不宜大于600mm，并应均匀摊铺；</w:t>
      </w:r>
    </w:p>
    <w:p>
      <w:pPr>
        <w:spacing w:line="240" w:lineRule="auto"/>
        <w:ind w:firstLine="440" w:firstLineChars="200"/>
        <w:rPr>
          <w:rFonts w:hint="eastAsia" w:ascii="Times New Roman" w:hAnsi="Times New Roman" w:cs="Times New Roman"/>
          <w:szCs w:val="21"/>
          <w:highlight w:val="none"/>
          <w:lang w:val="en-US" w:eastAsia="zh-CN"/>
        </w:rPr>
      </w:pPr>
      <w:r>
        <w:rPr>
          <w:rFonts w:hint="eastAsia" w:ascii="Times New Roman" w:hAnsi="Times New Roman" w:eastAsia="宋体" w:cs="Times New Roman"/>
          <w:b/>
          <w:bCs/>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混凝土从出机到浇筑完毕的延续时间，气温高于25</w:t>
      </w:r>
      <w:r>
        <w:rPr>
          <w:rFonts w:hint="default" w:ascii="Times New Roman" w:hAnsi="Times New Roman" w:cs="Times New Roman"/>
          <w:szCs w:val="21"/>
          <w:highlight w:val="none"/>
          <w:lang w:val="en-US" w:eastAsia="zh-CN"/>
        </w:rPr>
        <w:t>℃</w:t>
      </w:r>
      <w:r>
        <w:rPr>
          <w:rFonts w:hint="eastAsia" w:ascii="Times New Roman" w:hAnsi="Times New Roman" w:eastAsia="宋体" w:cs="Times New Roman"/>
          <w:szCs w:val="21"/>
          <w:highlight w:val="none"/>
        </w:rPr>
        <w:t>时不宜超过60min，气温不高于25</w:t>
      </w:r>
      <w:r>
        <w:rPr>
          <w:rFonts w:hint="default" w:ascii="Times New Roman" w:hAnsi="Times New Roman" w:cs="Times New Roman"/>
          <w:szCs w:val="21"/>
          <w:highlight w:val="none"/>
          <w:lang w:val="en-US" w:eastAsia="zh-CN"/>
        </w:rPr>
        <w:t>℃</w:t>
      </w:r>
      <w:r>
        <w:rPr>
          <w:rFonts w:hint="eastAsia" w:ascii="Times New Roman" w:hAnsi="Times New Roman" w:eastAsia="宋体" w:cs="Times New Roman"/>
          <w:szCs w:val="21"/>
          <w:highlight w:val="none"/>
        </w:rPr>
        <w:t>时不宜超过90min；</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二次浇筑的预制混凝土构件结合面应为粗糙面</w:t>
      </w:r>
      <w:r>
        <w:rPr>
          <w:rFonts w:hint="eastAsia" w:cs="Times New Roman"/>
          <w:szCs w:val="21"/>
          <w:highlight w:val="none"/>
          <w:lang w:eastAsia="zh-CN"/>
        </w:rPr>
        <w:t>；</w:t>
      </w:r>
      <w:r>
        <w:rPr>
          <w:rFonts w:hint="eastAsia" w:ascii="Times New Roman" w:hAnsi="Times New Roman" w:eastAsia="宋体" w:cs="Times New Roman"/>
          <w:szCs w:val="21"/>
          <w:highlight w:val="none"/>
        </w:rPr>
        <w:t xml:space="preserve">浇筑前应清除结合面上的浮浆、松动石子、软弱混凝土层；结合面处应洒水润湿并刷一层与前浇筑成分一致的砂浆作为接浆层。 </w:t>
      </w:r>
    </w:p>
    <w:p>
      <w:pPr>
        <w:spacing w:line="240" w:lineRule="auto"/>
        <w:outlineLvl w:val="9"/>
        <w:rPr>
          <w:rFonts w:hint="eastAsia" w:ascii="Times New Roman" w:hAnsi="Times New Roman" w:eastAsia="宋体" w:cs="Times New Roman"/>
          <w:szCs w:val="21"/>
          <w:highlight w:val="none"/>
        </w:rPr>
      </w:pPr>
      <w:bookmarkStart w:id="249" w:name="_Toc20498"/>
      <w:bookmarkStart w:id="250" w:name="_Toc11444"/>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default"/>
          <w:b w:val="0"/>
          <w:bCs w:val="0"/>
          <w:highlight w:val="none"/>
        </w:rPr>
        <w:t xml:space="preserve">  </w:t>
      </w:r>
      <w:r>
        <w:rPr>
          <w:rFonts w:hint="eastAsia" w:ascii="Times New Roman" w:hAnsi="Times New Roman" w:eastAsia="宋体" w:cs="Times New Roman"/>
          <w:szCs w:val="21"/>
          <w:highlight w:val="none"/>
        </w:rPr>
        <w:t>混凝土振捣应符合下列规定：</w:t>
      </w:r>
      <w:bookmarkEnd w:id="249"/>
      <w:bookmarkEnd w:id="250"/>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混凝土宜采用机械化作业、自动化振捣方式成型。振捣设备应根据混凝土的品种和工作性能，预制混凝土构件的规格和形状等因素确定，并制定振捣成型操作规程；</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当采用振捣棒时，混凝土振捣过程中不应触碰钢筋骨架、饰面砖和预埋件；</w:t>
      </w:r>
    </w:p>
    <w:p>
      <w:pPr>
        <w:spacing w:line="240" w:lineRule="auto"/>
        <w:ind w:firstLine="440" w:firstLineChars="200"/>
        <w:outlineLvl w:val="9"/>
        <w:rPr>
          <w:rFonts w:hint="eastAsia" w:ascii="Times New Roman" w:hAnsi="Times New Roman" w:eastAsia="宋体" w:cs="Times New Roman"/>
          <w:szCs w:val="21"/>
          <w:highlight w:val="none"/>
        </w:rPr>
      </w:pPr>
      <w:bookmarkStart w:id="251" w:name="_Toc26304"/>
      <w:bookmarkStart w:id="252" w:name="_Toc24919"/>
      <w:r>
        <w:rPr>
          <w:rFonts w:hint="eastAsia" w:ascii="Times New Roman" w:hAnsi="Times New Roman" w:eastAsia="宋体" w:cs="Times New Roman"/>
          <w:b/>
          <w:bCs/>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混凝土振捣过程中应随时检查模具有无漏浆现象；</w:t>
      </w:r>
      <w:bookmarkEnd w:id="251"/>
      <w:bookmarkEnd w:id="252"/>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振捣持续时间应使混凝土表面产生浮浆，无气泡，不下沉为止，过程应保证不漏振，不过振；</w:t>
      </w:r>
    </w:p>
    <w:p>
      <w:pPr>
        <w:spacing w:line="240" w:lineRule="auto"/>
        <w:ind w:firstLine="440" w:firstLineChars="200"/>
        <w:outlineLvl w:val="9"/>
        <w:rPr>
          <w:rFonts w:hint="eastAsia" w:ascii="Times New Roman" w:hAnsi="Times New Roman" w:eastAsia="宋体" w:cs="Times New Roman"/>
          <w:szCs w:val="21"/>
          <w:highlight w:val="none"/>
        </w:rPr>
      </w:pPr>
      <w:bookmarkStart w:id="253" w:name="_Toc8389"/>
      <w:bookmarkStart w:id="254" w:name="_Toc7163"/>
      <w:r>
        <w:rPr>
          <w:rFonts w:hint="eastAsia" w:ascii="Times New Roman" w:hAnsi="Times New Roman" w:eastAsia="宋体" w:cs="Times New Roman"/>
          <w:b/>
          <w:bCs/>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混凝土振捣完成后宜对表面进行抹平提浆，做二次抹面处理；</w:t>
      </w:r>
      <w:bookmarkEnd w:id="253"/>
      <w:bookmarkEnd w:id="254"/>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6</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二次浇筑的预制混凝土构件宜在二次浇筑后，混凝土初凝前进行二次振捣，保证结合面连接强度。</w:t>
      </w:r>
    </w:p>
    <w:p>
      <w:pPr>
        <w:spacing w:line="240" w:lineRule="auto"/>
        <w:rPr>
          <w:rFonts w:hint="eastAsia" w:ascii="Times New Roman" w:hAnsi="Times New Roman" w:eastAsia="宋体" w:cs="Times New Roman"/>
          <w:szCs w:val="21"/>
          <w:highlight w:val="none"/>
        </w:rPr>
      </w:pPr>
      <w:bookmarkStart w:id="255" w:name="_Toc462409527"/>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default"/>
          <w:b w:val="0"/>
          <w:bCs w:val="0"/>
          <w:highlight w:val="none"/>
        </w:rPr>
        <w:t xml:space="preserve">  </w:t>
      </w:r>
      <w:r>
        <w:rPr>
          <w:rFonts w:hint="eastAsia" w:ascii="Times New Roman" w:hAnsi="Times New Roman" w:eastAsia="宋体" w:cs="Times New Roman"/>
          <w:szCs w:val="21"/>
          <w:highlight w:val="none"/>
        </w:rPr>
        <w:t>带保温材料的预制混凝土构件宜采用水平浇筑方式成型，其中夹心保温墙板成型应符合下列规定：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应严格按照设计文件要求对拉结件的数量和位置进行控制；</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应采取可靠措施保证拉结件在混凝土中可靠锚固；</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应保证保温材料间拼缝严密，可使用粘结材料密封处理；多层敷设保温材料时上下层接缝应错开；</w:t>
      </w:r>
    </w:p>
    <w:p>
      <w:pPr>
        <w:spacing w:line="240" w:lineRule="auto"/>
        <w:ind w:firstLine="440" w:firstLineChars="200"/>
        <w:outlineLvl w:val="9"/>
        <w:rPr>
          <w:rFonts w:hint="eastAsia" w:ascii="Times New Roman" w:hAnsi="Times New Roman" w:eastAsia="宋体" w:cs="Times New Roman"/>
          <w:szCs w:val="21"/>
          <w:highlight w:val="none"/>
        </w:rPr>
      </w:pPr>
      <w:bookmarkStart w:id="256" w:name="_Toc30520"/>
      <w:bookmarkStart w:id="257" w:name="_Toc12116"/>
      <w:r>
        <w:rPr>
          <w:rFonts w:hint="eastAsia" w:ascii="Times New Roman" w:hAnsi="Times New Roman" w:eastAsia="宋体" w:cs="Times New Roman"/>
          <w:b/>
          <w:bCs/>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上层混凝土的浇筑应在下层混凝土初凝前完成。</w:t>
      </w:r>
      <w:bookmarkEnd w:id="256"/>
      <w:bookmarkEnd w:id="257"/>
    </w:p>
    <w:bookmarkEnd w:id="255"/>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default"/>
          <w:b w:val="0"/>
          <w:bCs w:val="0"/>
          <w:highlight w:val="none"/>
        </w:rPr>
        <w:t xml:space="preserve">  </w:t>
      </w:r>
      <w:r>
        <w:rPr>
          <w:rFonts w:hint="eastAsia" w:ascii="Times New Roman" w:hAnsi="Times New Roman" w:eastAsia="宋体" w:cs="Times New Roman"/>
          <w:szCs w:val="21"/>
          <w:highlight w:val="none"/>
        </w:rPr>
        <w:t>带面砖或石材饰面的预制混凝土构件宜采用反打一次成型工艺制作，除拉拔强度应符合设计要求外，还应符合下列规定：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当饰面层采用面砖时，应根据排砖图的要求进行配砖和加工，面砖入模铺设前，宜根据排砖图要求分片制成定型砖模套件，套件的长度不宜大于600mm，宽度不宜大于300mm；</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当饰面层采用石材时，应根据排砖图的要求进行配板和加工，并提前在石材背面安装不锈钢锚固拉钩和涂刷防泛碱处理剂；</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3</w:t>
      </w:r>
      <w:r>
        <w:rPr>
          <w:rFonts w:hint="eastAsia" w:cs="Times New Roman"/>
          <w:b w:val="0"/>
          <w:bCs w:val="0"/>
          <w:highlight w:val="none"/>
          <w:lang w:val="en-US" w:eastAsia="zh-CN"/>
        </w:rPr>
        <w:t xml:space="preserve">  </w:t>
      </w:r>
      <w:r>
        <w:rPr>
          <w:rFonts w:hint="eastAsia" w:ascii="Times New Roman" w:hAnsi="Times New Roman" w:eastAsia="宋体" w:cs="Times New Roman"/>
          <w:szCs w:val="21"/>
          <w:highlight w:val="none"/>
        </w:rPr>
        <w:t>面砖和石材等饰面材料与混凝土的结合应牢固无空鼓。石材与混凝土之间连接件的拉钩、锚栓等的数量、位置和防腐处理必须符合设计要求；</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宜使用柔韧性好、收缩小、具有抗裂性能且不污染饰面的材料嵌填饰面砖或石材间的拼缝，并应采取措施防止面砖或石材在钢筋安装及混凝土浇筑振捣等工序中出现移位；</w:t>
      </w:r>
    </w:p>
    <w:p>
      <w:pPr>
        <w:spacing w:line="240" w:lineRule="auto"/>
        <w:ind w:firstLine="440" w:firstLineChars="200"/>
        <w:outlineLvl w:val="9"/>
        <w:rPr>
          <w:rFonts w:hint="eastAsia" w:ascii="Times New Roman" w:hAnsi="Times New Roman" w:eastAsia="宋体" w:cs="Times New Roman"/>
          <w:szCs w:val="21"/>
          <w:highlight w:val="none"/>
        </w:rPr>
      </w:pPr>
      <w:bookmarkStart w:id="258" w:name="_Toc10829"/>
      <w:bookmarkStart w:id="259" w:name="_Toc1197"/>
      <w:r>
        <w:rPr>
          <w:rFonts w:hint="eastAsia" w:ascii="Times New Roman" w:hAnsi="Times New Roman" w:eastAsia="宋体" w:cs="Times New Roman"/>
          <w:b/>
          <w:bCs/>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混凝土振捣采用插入式振捣棒时，应避免损坏饰面层材料。</w:t>
      </w:r>
      <w:bookmarkEnd w:id="258"/>
      <w:bookmarkEnd w:id="259"/>
    </w:p>
    <w:p>
      <w:pPr>
        <w:spacing w:line="240" w:lineRule="auto"/>
        <w:outlineLvl w:val="9"/>
        <w:rPr>
          <w:rFonts w:hint="eastAsia" w:ascii="Times New Roman" w:hAnsi="Times New Roman" w:eastAsia="宋体" w:cs="Times New Roman"/>
          <w:szCs w:val="21"/>
          <w:highlight w:val="none"/>
        </w:rPr>
      </w:pPr>
      <w:bookmarkStart w:id="260" w:name="_Toc25072"/>
      <w:bookmarkStart w:id="261" w:name="_Toc2794"/>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default"/>
          <w:b w:val="0"/>
          <w:bCs w:val="0"/>
          <w:highlight w:val="none"/>
        </w:rPr>
        <w:t xml:space="preserve">  </w:t>
      </w:r>
      <w:r>
        <w:rPr>
          <w:rFonts w:hint="eastAsia" w:ascii="Times New Roman" w:hAnsi="Times New Roman" w:eastAsia="宋体" w:cs="Times New Roman"/>
          <w:szCs w:val="21"/>
          <w:highlight w:val="none"/>
        </w:rPr>
        <w:t>当采用模壳构件时，模壳构件浇筑应符合下列规定:</w:t>
      </w:r>
      <w:bookmarkEnd w:id="260"/>
      <w:bookmarkEnd w:id="261"/>
    </w:p>
    <w:p>
      <w:pPr>
        <w:spacing w:line="240" w:lineRule="auto"/>
        <w:ind w:firstLine="440" w:firstLineChars="200"/>
        <w:outlineLvl w:val="9"/>
        <w:rPr>
          <w:rFonts w:hint="eastAsia" w:ascii="Times New Roman" w:hAnsi="Times New Roman" w:eastAsia="宋体" w:cs="Times New Roman"/>
          <w:szCs w:val="21"/>
          <w:highlight w:val="none"/>
        </w:rPr>
      </w:pPr>
      <w:bookmarkStart w:id="262" w:name="_Toc2056"/>
      <w:bookmarkStart w:id="263" w:name="_Toc11218"/>
      <w:r>
        <w:rPr>
          <w:rFonts w:hint="eastAsia" w:ascii="Times New Roman" w:hAnsi="Times New Roman" w:eastAsia="宋体" w:cs="Times New Roman"/>
          <w:b/>
          <w:bCs/>
          <w:highlight w:val="none"/>
        </w:rPr>
        <w:t>1</w:t>
      </w:r>
      <w:r>
        <w:rPr>
          <w:rFonts w:hint="eastAsia" w:cs="Times New Roman"/>
          <w:b w:val="0"/>
          <w:bCs w:val="0"/>
          <w:highlight w:val="none"/>
          <w:lang w:val="en-US" w:eastAsia="zh-CN"/>
        </w:rPr>
        <w:t xml:space="preserve">  </w:t>
      </w:r>
      <w:r>
        <w:rPr>
          <w:rFonts w:hint="eastAsia" w:ascii="Times New Roman" w:hAnsi="Times New Roman" w:eastAsia="宋体" w:cs="Times New Roman"/>
          <w:szCs w:val="21"/>
          <w:highlight w:val="none"/>
        </w:rPr>
        <w:t>模壳材料浇筑前，应根据生产工艺确定模壳材料的工作性能；</w:t>
      </w:r>
      <w:bookmarkEnd w:id="262"/>
      <w:bookmarkEnd w:id="263"/>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cs="Times New Roman"/>
          <w:b w:val="0"/>
          <w:bCs w:val="0"/>
          <w:highlight w:val="none"/>
          <w:lang w:val="en-US" w:eastAsia="zh-CN"/>
        </w:rPr>
        <w:t xml:space="preserve">  </w:t>
      </w:r>
      <w:r>
        <w:rPr>
          <w:rFonts w:hint="eastAsia" w:ascii="Times New Roman" w:hAnsi="Times New Roman" w:eastAsia="宋体" w:cs="Times New Roman"/>
          <w:szCs w:val="21"/>
          <w:highlight w:val="none"/>
        </w:rPr>
        <w:t>模壳构件的同侧模壳宜一次浇筑成型。对于T形和L形构件，在阴角和阳角部位应在模壳内设置连接件，保证构件的整体性；</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3</w:t>
      </w:r>
      <w:r>
        <w:rPr>
          <w:rFonts w:hint="eastAsia" w:ascii="Times New Roman" w:hAnsi="Times New Roman" w:eastAsia="宋体" w:cs="Times New Roman"/>
          <w:b w:val="0"/>
          <w:bCs w:val="0"/>
          <w:highlight w:val="none"/>
        </w:rPr>
        <w:t xml:space="preserve"> </w:t>
      </w:r>
      <w:r>
        <w:rPr>
          <w:rFonts w:hint="eastAsia" w:cs="Times New Roman"/>
          <w:b w:val="0"/>
          <w:bCs w:val="0"/>
          <w:highlight w:val="none"/>
          <w:lang w:val="en-US" w:eastAsia="zh-CN"/>
        </w:rPr>
        <w:t xml:space="preserve"> </w:t>
      </w:r>
      <w:r>
        <w:rPr>
          <w:rFonts w:hint="eastAsia" w:ascii="Times New Roman" w:hAnsi="Times New Roman" w:eastAsia="宋体" w:cs="Times New Roman"/>
          <w:szCs w:val="21"/>
          <w:highlight w:val="none"/>
        </w:rPr>
        <w:t>安装过程中应使模壳底部与模板紧密结合，防止漏浆，当模壳尺寸较大时，可在模壳内部设置支撑，防止混凝土浇筑时模壳承受过大荷载造成受损变形；</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浇筑时混凝土不应直接冲击模壳，以免造成模壳的松动位移。应尽量降低下料口的高度差缓解冲力；</w:t>
      </w:r>
    </w:p>
    <w:p>
      <w:pPr>
        <w:spacing w:line="240" w:lineRule="auto"/>
        <w:ind w:firstLine="440" w:firstLineChars="200"/>
        <w:outlineLvl w:val="9"/>
        <w:rPr>
          <w:rFonts w:hint="eastAsia" w:ascii="Times New Roman" w:hAnsi="Times New Roman" w:eastAsia="宋体" w:cs="Times New Roman"/>
          <w:szCs w:val="21"/>
          <w:highlight w:val="none"/>
        </w:rPr>
      </w:pPr>
      <w:bookmarkStart w:id="264" w:name="_Toc14622"/>
      <w:bookmarkStart w:id="265" w:name="_Toc4478"/>
      <w:r>
        <w:rPr>
          <w:rFonts w:hint="eastAsia" w:ascii="Times New Roman" w:hAnsi="Times New Roman" w:eastAsia="宋体" w:cs="Times New Roman"/>
          <w:b/>
          <w:bCs/>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混凝土振捣时严禁超振，防止对模壳产生破坏。</w:t>
      </w:r>
      <w:bookmarkEnd w:id="264"/>
      <w:bookmarkEnd w:id="265"/>
    </w:p>
    <w:p>
      <w:pPr>
        <w:spacing w:line="240" w:lineRule="auto"/>
        <w:outlineLvl w:val="9"/>
        <w:rPr>
          <w:rFonts w:hint="eastAsia" w:ascii="Times New Roman" w:hAnsi="Times New Roman" w:eastAsia="宋体" w:cs="Times New Roman"/>
          <w:szCs w:val="21"/>
          <w:highlight w:val="none"/>
        </w:rPr>
      </w:pPr>
      <w:bookmarkStart w:id="266" w:name="_Toc5489"/>
      <w:bookmarkStart w:id="267" w:name="_Toc25786"/>
      <w:bookmarkStart w:id="268" w:name="_Toc462409529"/>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default"/>
          <w:b w:val="0"/>
          <w:bCs w:val="0"/>
          <w:highlight w:val="none"/>
        </w:rPr>
        <w:t xml:space="preserve">  </w:t>
      </w:r>
      <w:r>
        <w:rPr>
          <w:rFonts w:hint="eastAsia" w:ascii="Times New Roman" w:hAnsi="Times New Roman" w:eastAsia="宋体" w:cs="Times New Roman"/>
          <w:szCs w:val="21"/>
          <w:highlight w:val="none"/>
        </w:rPr>
        <w:t>预制混凝土构件的粗糙面应符合下列规定：</w:t>
      </w:r>
      <w:bookmarkEnd w:id="266"/>
      <w:bookmarkEnd w:id="267"/>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1</w:t>
      </w:r>
      <w:r>
        <w:rPr>
          <w:rFonts w:hint="eastAsia" w:cs="Times New Roman"/>
          <w:b w:val="0"/>
          <w:bCs w:val="0"/>
          <w:highlight w:val="none"/>
          <w:lang w:val="en-US" w:eastAsia="zh-CN"/>
        </w:rPr>
        <w:t xml:space="preserve">  </w:t>
      </w:r>
      <w:r>
        <w:rPr>
          <w:rFonts w:hint="eastAsia" w:ascii="Times New Roman" w:hAnsi="Times New Roman" w:eastAsia="宋体" w:cs="Times New Roman"/>
          <w:szCs w:val="21"/>
          <w:highlight w:val="none"/>
        </w:rPr>
        <w:t>粗糙面的形成应符合绿色环保、节水节能要求，宜采用模具成型、拉毛或凿毛处理；</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叠合板粗糙面宜在混凝土初凝前进行拉毛处理，拉毛过程注意不可用力过猛以免造成裂缝损伤构件；</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3</w:t>
      </w:r>
      <w:r>
        <w:rPr>
          <w:rFonts w:hint="eastAsia" w:cs="Times New Roman"/>
          <w:b w:val="0"/>
          <w:bCs w:val="0"/>
          <w:highlight w:val="none"/>
          <w:lang w:val="en-US" w:eastAsia="zh-CN"/>
        </w:rPr>
        <w:t xml:space="preserve">  </w:t>
      </w:r>
      <w:r>
        <w:rPr>
          <w:rFonts w:hint="eastAsia" w:ascii="Times New Roman" w:hAnsi="Times New Roman" w:eastAsia="宋体" w:cs="Times New Roman"/>
          <w:szCs w:val="21"/>
          <w:highlight w:val="none"/>
        </w:rPr>
        <w:t>预制混凝土构件粗糙面的面积不宜小于与后浇混凝土结合面表面的80%，其中叠合板粗糙面的凹凸深度不应小于4mm；预制梁端、预制柱端、预制墙端粗糙面凹凸深度不应小于6mm。</w:t>
      </w:r>
    </w:p>
    <w:p>
      <w:pPr>
        <w:spacing w:line="240" w:lineRule="auto"/>
        <w:outlineLvl w:val="9"/>
        <w:rPr>
          <w:rFonts w:hint="eastAsia" w:ascii="Times New Roman" w:hAnsi="Times New Roman" w:eastAsia="宋体" w:cs="Times New Roman"/>
          <w:szCs w:val="21"/>
          <w:highlight w:val="none"/>
        </w:rPr>
      </w:pPr>
      <w:bookmarkStart w:id="269" w:name="_Toc15546"/>
      <w:bookmarkStart w:id="270" w:name="_Toc11746"/>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11</w:t>
      </w:r>
      <w:r>
        <w:rPr>
          <w:rFonts w:hint="default"/>
          <w:b w:val="0"/>
          <w:bCs w:val="0"/>
          <w:highlight w:val="none"/>
        </w:rPr>
        <w:t xml:space="preserve">  </w:t>
      </w:r>
      <w:r>
        <w:rPr>
          <w:rFonts w:hint="eastAsia" w:ascii="Times New Roman" w:hAnsi="Times New Roman" w:eastAsia="宋体" w:cs="Times New Roman"/>
          <w:szCs w:val="21"/>
          <w:highlight w:val="none"/>
        </w:rPr>
        <w:t>预制混凝土构件养护应符合下列规定：</w:t>
      </w:r>
      <w:bookmarkEnd w:id="269"/>
      <w:bookmarkEnd w:id="270"/>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应根据预制混凝土构件特点和生产任务量选择自然养护、蒸汽养护等方式；</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采用蒸汽养护，宜采用自动蒸汽养护装置，并应保证蒸汽管道通畅、养护区无积水；</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混凝土浇筑完成或压面工序完成后应及时覆盖保湿，脱模前不应移除覆盖物；</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加热养护制度应通过实验确定，宜采用加热养护温度自动控制装置。预制混凝土构件加热养护制度应分静停（预养）、升温、恒温和降温四个阶段，养护过程应符合表6</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5</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11的规定。</w:t>
      </w:r>
      <w:bookmarkEnd w:id="268"/>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eastAsia" w:ascii="Times New Roman" w:hAnsi="Times New Roman" w:eastAsia="黑体" w:cs="Times New Roman"/>
          <w:b/>
          <w:bCs/>
          <w:sz w:val="18"/>
          <w:szCs w:val="18"/>
          <w:highlight w:val="none"/>
        </w:rPr>
        <w:t>6</w:t>
      </w:r>
      <w:r>
        <w:rPr>
          <w:rFonts w:hint="eastAsia" w:ascii="宋体" w:hAnsi="宋体" w:eastAsia="宋体" w:cs="宋体"/>
          <w:b/>
          <w:bCs/>
          <w:sz w:val="18"/>
          <w:szCs w:val="18"/>
          <w:highlight w:val="none"/>
        </w:rPr>
        <w:t>.</w:t>
      </w:r>
      <w:r>
        <w:rPr>
          <w:rFonts w:hint="eastAsia" w:ascii="Times New Roman" w:hAnsi="Times New Roman" w:eastAsia="黑体" w:cs="Times New Roman"/>
          <w:b/>
          <w:bCs/>
          <w:sz w:val="18"/>
          <w:szCs w:val="18"/>
          <w:highlight w:val="none"/>
        </w:rPr>
        <w:t>5</w:t>
      </w:r>
      <w:r>
        <w:rPr>
          <w:rFonts w:hint="eastAsia" w:ascii="宋体" w:hAnsi="宋体" w:eastAsia="宋体" w:cs="宋体"/>
          <w:b/>
          <w:bCs/>
          <w:sz w:val="18"/>
          <w:szCs w:val="18"/>
          <w:highlight w:val="none"/>
        </w:rPr>
        <w:t>.</w:t>
      </w:r>
      <w:r>
        <w:rPr>
          <w:rFonts w:hint="eastAsia" w:ascii="Times New Roman" w:hAnsi="Times New Roman" w:eastAsia="黑体" w:cs="Times New Roman"/>
          <w:b/>
          <w:bCs/>
          <w:sz w:val="18"/>
          <w:szCs w:val="18"/>
          <w:highlight w:val="none"/>
        </w:rPr>
        <w:t>11</w:t>
      </w:r>
      <w:r>
        <w:rPr>
          <w:rFonts w:hint="eastAsia" w:ascii="黑体" w:hAnsi="黑体" w:eastAsia="黑体" w:cs="黑体"/>
          <w:sz w:val="18"/>
          <w:szCs w:val="18"/>
          <w:highlight w:val="none"/>
        </w:rPr>
        <w:t xml:space="preserve"> </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加热养护过程的温度控制</w:t>
      </w:r>
    </w:p>
    <w:tbl>
      <w:tblPr>
        <w:tblStyle w:val="30"/>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2513"/>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351" w:type="pct"/>
            <w:tcBorders>
              <w:top w:val="single" w:color="000000" w:sz="12" w:space="0"/>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养护阶段</w:t>
            </w:r>
          </w:p>
        </w:tc>
        <w:tc>
          <w:tcPr>
            <w:tcW w:w="3648" w:type="pct"/>
            <w:tcBorders>
              <w:top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351"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静停</w:t>
            </w:r>
          </w:p>
        </w:tc>
        <w:tc>
          <w:tcPr>
            <w:tcW w:w="3648"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时间不宜少于2h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351"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升温</w:t>
            </w:r>
          </w:p>
        </w:tc>
        <w:tc>
          <w:tcPr>
            <w:tcW w:w="3648"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 xml:space="preserve">升温速度不应大于20 </w:t>
            </w:r>
            <w:r>
              <w:rPr>
                <w:rFonts w:hint="default" w:ascii="Times New Roman" w:hAnsi="Times New Roman" w:eastAsia="宋体" w:cs="Times New Roman"/>
                <w:sz w:val="15"/>
                <w:szCs w:val="15"/>
                <w:highlight w:val="none"/>
                <w:lang w:val="en-US" w:eastAsia="zh-CN"/>
              </w:rPr>
              <w:t>℃</w:t>
            </w:r>
            <w:r>
              <w:rPr>
                <w:rFonts w:hint="eastAsia" w:ascii="Times New Roman" w:hAnsi="Times New Roman" w:eastAsia="宋体" w:cs="Times New Roman"/>
                <w:sz w:val="15"/>
                <w:szCs w:val="15"/>
                <w:highlight w:val="none"/>
              </w:rPr>
              <w:t xml:space="preserve">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51" w:type="pct"/>
            <w:tcBorders>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恒温</w:t>
            </w:r>
          </w:p>
        </w:tc>
        <w:tc>
          <w:tcPr>
            <w:tcW w:w="3648" w:type="pct"/>
            <w:tcBorders>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最高温度不宜超过60</w:t>
            </w:r>
            <w:r>
              <w:rPr>
                <w:rFonts w:hint="default" w:ascii="Times New Roman" w:hAnsi="Times New Roman" w:eastAsia="宋体" w:cs="Times New Roman"/>
                <w:sz w:val="15"/>
                <w:szCs w:val="15"/>
                <w:highlight w:val="none"/>
                <w:lang w:val="en-US" w:eastAsia="zh-CN"/>
              </w:rPr>
              <w:t>℃</w:t>
            </w:r>
            <w:r>
              <w:rPr>
                <w:rFonts w:hint="eastAsia" w:ascii="Times New Roman" w:hAnsi="Times New Roman" w:eastAsia="宋体" w:cs="Times New Roman"/>
                <w:sz w:val="15"/>
                <w:szCs w:val="15"/>
                <w:highlight w:val="none"/>
              </w:rPr>
              <w:t>，恒温时间不宜少于3h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15" w:hRule="atLeast"/>
          <w:jc w:val="center"/>
        </w:trPr>
        <w:tc>
          <w:tcPr>
            <w:tcW w:w="1351" w:type="pct"/>
            <w:tcBorders>
              <w:top w:val="single" w:color="000000" w:sz="4" w:space="0"/>
              <w:left w:val="single" w:color="000000" w:sz="12" w:space="0"/>
              <w:bottom w:val="single" w:color="000000" w:sz="12"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bookmarkStart w:id="271" w:name="_Toc11160012"/>
            <w:bookmarkStart w:id="272" w:name="_Toc462409520"/>
            <w:r>
              <w:rPr>
                <w:rFonts w:hint="eastAsia" w:ascii="Times New Roman" w:hAnsi="Times New Roman" w:eastAsia="宋体" w:cs="Times New Roman"/>
                <w:sz w:val="15"/>
                <w:szCs w:val="15"/>
                <w:highlight w:val="none"/>
              </w:rPr>
              <w:t>降温</w:t>
            </w:r>
          </w:p>
        </w:tc>
        <w:tc>
          <w:tcPr>
            <w:tcW w:w="3648" w:type="pct"/>
            <w:tcBorders>
              <w:top w:val="single" w:color="000000" w:sz="4" w:space="0"/>
              <w:left w:val="single" w:color="000000" w:sz="4" w:space="0"/>
              <w:bottom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 xml:space="preserve">降温速度不宜大于20 </w:t>
            </w:r>
            <w:r>
              <w:rPr>
                <w:rFonts w:hint="default" w:ascii="Times New Roman" w:hAnsi="Times New Roman" w:eastAsia="宋体" w:cs="Times New Roman"/>
                <w:sz w:val="15"/>
                <w:szCs w:val="15"/>
                <w:highlight w:val="none"/>
                <w:lang w:val="en-US" w:eastAsia="zh-CN"/>
              </w:rPr>
              <w:t>℃</w:t>
            </w:r>
            <w:r>
              <w:rPr>
                <w:rFonts w:hint="eastAsia" w:ascii="Times New Roman" w:hAnsi="Times New Roman" w:eastAsia="宋体" w:cs="Times New Roman"/>
                <w:sz w:val="15"/>
                <w:szCs w:val="15"/>
                <w:highlight w:val="none"/>
              </w:rPr>
              <w:t xml:space="preserve"> /h</w:t>
            </w:r>
          </w:p>
        </w:tc>
      </w:tr>
    </w:tbl>
    <w:p>
      <w:pPr>
        <w:keepNext w:val="0"/>
        <w:keepLines w:val="0"/>
        <w:pageBreakBefore w:val="0"/>
        <w:widowControl w:val="0"/>
        <w:kinsoku/>
        <w:wordWrap/>
        <w:overflowPunct/>
        <w:topLinePunct w:val="0"/>
        <w:autoSpaceDE/>
        <w:autoSpaceDN/>
        <w:bidi w:val="0"/>
        <w:adjustRightInd/>
        <w:snapToGrid/>
        <w:spacing w:before="84" w:beforeLines="25" w:line="240" w:lineRule="auto"/>
        <w:ind w:firstLine="440" w:firstLineChars="200"/>
        <w:textAlignment w:val="auto"/>
        <w:rPr>
          <w:rFonts w:hint="eastAsia" w:ascii="Times New Roman" w:hAnsi="Times New Roman" w:eastAsia="宋体" w:cs="Times New Roman"/>
          <w:szCs w:val="21"/>
          <w:highlight w:val="none"/>
        </w:rPr>
      </w:pPr>
      <w:r>
        <w:rPr>
          <w:rFonts w:hint="eastAsia" w:ascii="Times New Roman" w:hAnsi="Times New Roman" w:eastAsia="宋体" w:cs="Times New Roman"/>
          <w:b/>
          <w:bCs/>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预制混凝土构件脱模时的表面温度与环境温度的差值不宜超过25</w:t>
      </w:r>
      <w:r>
        <w:rPr>
          <w:rFonts w:hint="default" w:ascii="Times New Roman" w:hAnsi="Times New Roman" w:cs="Times New Roman"/>
          <w:szCs w:val="21"/>
          <w:highlight w:val="none"/>
          <w:lang w:val="en-US" w:eastAsia="zh-CN"/>
        </w:rPr>
        <w:t>℃</w:t>
      </w:r>
      <w:r>
        <w:rPr>
          <w:rFonts w:hint="eastAsia" w:ascii="Times New Roman" w:hAnsi="Times New Roman" w:eastAsia="宋体" w:cs="Times New Roman"/>
          <w:szCs w:val="21"/>
          <w:highlight w:val="none"/>
        </w:rPr>
        <w:t>，当混凝土表面温度和环境温差较大时，应立即覆膜养护。</w:t>
      </w:r>
    </w:p>
    <w:bookmarkEnd w:id="271"/>
    <w:bookmarkEnd w:id="272"/>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273" w:name="_Toc7665"/>
      <w:bookmarkStart w:id="274" w:name="_Toc28432"/>
      <w:bookmarkStart w:id="275" w:name="_Toc17484"/>
      <w:bookmarkStart w:id="276" w:name="_Toc382558669"/>
      <w:bookmarkStart w:id="277" w:name="_Toc31428"/>
      <w:bookmarkStart w:id="278" w:name="_Toc15945"/>
      <w:bookmarkStart w:id="279" w:name="_Toc389227367"/>
      <w:bookmarkStart w:id="280" w:name="_Toc23069"/>
      <w:bookmarkStart w:id="281" w:name="_Toc7921"/>
      <w:bookmarkStart w:id="282" w:name="_Toc10272"/>
      <w:bookmarkStart w:id="283" w:name="_Toc462409532"/>
      <w:bookmarkStart w:id="284" w:name="_Toc3418"/>
      <w:bookmarkStart w:id="285" w:name="_Toc116895378"/>
      <w:bookmarkStart w:id="286" w:name="_Toc15338"/>
      <w:bookmarkStart w:id="287" w:name="_Toc387912836"/>
      <w:bookmarkStart w:id="288" w:name="_Toc26019"/>
      <w:bookmarkStart w:id="289" w:name="_Toc28206"/>
      <w:bookmarkStart w:id="290" w:name="_Toc11160014"/>
      <w:bookmarkStart w:id="291" w:name="_Toc143007023"/>
      <w:bookmarkStart w:id="292" w:name="_Toc153205493"/>
      <w:bookmarkStart w:id="293" w:name="_Toc3006"/>
      <w:bookmarkStart w:id="294" w:name="_Toc393377995"/>
      <w:bookmarkStart w:id="295" w:name="_Toc18858"/>
      <w:bookmarkStart w:id="296" w:name="_Toc154586187"/>
      <w:bookmarkStart w:id="297" w:name="_Toc116581566"/>
      <w:r>
        <w:rPr>
          <w:rFonts w:hint="eastAsia" w:ascii="Times New Roman" w:hAnsi="Times New Roman" w:eastAsia="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Times New Roman" w:hAnsi="Times New Roman" w:eastAsia="宋体"/>
          <w:sz w:val="21"/>
          <w:szCs w:val="21"/>
          <w:highlight w:val="none"/>
          <w:lang w:val="en-US" w:eastAsia="zh-CN"/>
        </w:rPr>
        <w:t>6</w:t>
      </w:r>
      <w:r>
        <w:rPr>
          <w:rFonts w:hint="eastAsia" w:ascii="黑体" w:hAnsi="黑体" w:eastAsia="黑体"/>
          <w:b w:val="0"/>
          <w:sz w:val="21"/>
          <w:szCs w:val="21"/>
          <w:highlight w:val="none"/>
          <w:lang w:val="en-US" w:eastAsia="zh-CN"/>
        </w:rPr>
        <w:t xml:space="preserve">  脱模与修补</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line="240" w:lineRule="auto"/>
        <w:rPr>
          <w:rFonts w:hint="eastAsia" w:ascii="Times New Roman" w:hAnsi="Times New Roman" w:eastAsia="宋体" w:cs="Times New Roman"/>
          <w:szCs w:val="21"/>
          <w:highlight w:val="none"/>
        </w:rPr>
      </w:pPr>
      <w:bookmarkStart w:id="298" w:name="_Toc462409534"/>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default"/>
          <w:b w:val="0"/>
          <w:bCs w:val="0"/>
          <w:highlight w:val="none"/>
        </w:rPr>
        <w:t xml:space="preserve">  </w:t>
      </w:r>
      <w:r>
        <w:rPr>
          <w:rFonts w:hint="eastAsia" w:ascii="Times New Roman" w:hAnsi="Times New Roman" w:eastAsia="宋体" w:cs="Times New Roman"/>
          <w:szCs w:val="21"/>
          <w:highlight w:val="none"/>
        </w:rPr>
        <w:t>构件脱模应严格按照顺序拆除模具，不应使用振动方式拆模。</w:t>
      </w:r>
      <w:bookmarkEnd w:id="298"/>
    </w:p>
    <w:p>
      <w:pPr>
        <w:spacing w:line="240" w:lineRule="auto"/>
        <w:rPr>
          <w:rFonts w:hint="eastAsia" w:ascii="Times New Roman" w:hAnsi="Times New Roman" w:eastAsia="宋体" w:cs="Times New Roman"/>
          <w:szCs w:val="21"/>
          <w:highlight w:val="none"/>
        </w:rPr>
      </w:pPr>
      <w:bookmarkStart w:id="299" w:name="_Toc462409535"/>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default"/>
          <w:b w:val="0"/>
          <w:bCs w:val="0"/>
          <w:highlight w:val="none"/>
        </w:rPr>
        <w:t xml:space="preserve">  </w:t>
      </w:r>
      <w:r>
        <w:rPr>
          <w:rFonts w:hint="eastAsia" w:ascii="Times New Roman" w:hAnsi="Times New Roman" w:eastAsia="宋体" w:cs="Times New Roman"/>
          <w:szCs w:val="21"/>
          <w:highlight w:val="none"/>
        </w:rPr>
        <w:t>构件脱模时应检查确认构件与模具之间的连接部分，完全拆除后方可起吊</w:t>
      </w:r>
      <w:bookmarkEnd w:id="299"/>
      <w:r>
        <w:rPr>
          <w:rFonts w:hint="eastAsia" w:ascii="Times New Roman" w:hAnsi="Times New Roman" w:eastAsia="宋体" w:cs="Times New Roman"/>
          <w:szCs w:val="21"/>
          <w:highlight w:val="none"/>
        </w:rPr>
        <w:t>。</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default"/>
          <w:b w:val="0"/>
          <w:bCs w:val="0"/>
          <w:highlight w:val="none"/>
        </w:rPr>
        <w:t xml:space="preserve">  </w:t>
      </w:r>
      <w:r>
        <w:rPr>
          <w:rFonts w:hint="eastAsia" w:ascii="Times New Roman" w:hAnsi="Times New Roman" w:eastAsia="宋体" w:cs="Times New Roman"/>
          <w:szCs w:val="21"/>
          <w:highlight w:val="none"/>
        </w:rPr>
        <w:t>构件起吊应平稳，复杂构件应采用专门的吊架进行起吊。</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default"/>
          <w:b w:val="0"/>
          <w:bCs w:val="0"/>
          <w:highlight w:val="none"/>
        </w:rPr>
        <w:t xml:space="preserve">  </w:t>
      </w:r>
      <w:r>
        <w:rPr>
          <w:rFonts w:hint="eastAsia" w:ascii="Times New Roman" w:hAnsi="Times New Roman" w:eastAsia="宋体" w:cs="Times New Roman"/>
          <w:szCs w:val="21"/>
          <w:highlight w:val="none"/>
        </w:rPr>
        <w:t>大型构件或复杂构件脱模起吊前应进行脱模验算和起吊件验算，综合考虑脱模方案。</w:t>
      </w:r>
    </w:p>
    <w:p>
      <w:pPr>
        <w:spacing w:line="240" w:lineRule="auto"/>
        <w:rPr>
          <w:rFonts w:hint="eastAsia" w:ascii="Times New Roman" w:hAnsi="Times New Roman" w:eastAsia="宋体" w:cs="Times New Roman"/>
          <w:szCs w:val="21"/>
          <w:highlight w:val="none"/>
        </w:rPr>
      </w:pPr>
      <w:bookmarkStart w:id="300" w:name="_Toc462409539"/>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default"/>
          <w:b w:val="0"/>
          <w:bCs w:val="0"/>
          <w:highlight w:val="none"/>
        </w:rPr>
        <w:t xml:space="preserve">  </w:t>
      </w:r>
      <w:r>
        <w:rPr>
          <w:rFonts w:hint="eastAsia" w:ascii="Times New Roman" w:hAnsi="Times New Roman" w:eastAsia="宋体" w:cs="Times New Roman"/>
          <w:szCs w:val="21"/>
          <w:highlight w:val="none"/>
        </w:rPr>
        <w:t>构件脱模时混凝土强度不应小于15MPa或设计要求；</w:t>
      </w:r>
    </w:p>
    <w:bookmarkEnd w:id="300"/>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default"/>
          <w:b w:val="0"/>
          <w:bCs w:val="0"/>
          <w:highlight w:val="none"/>
        </w:rPr>
        <w:t xml:space="preserve">  </w:t>
      </w:r>
      <w:r>
        <w:rPr>
          <w:rFonts w:hint="eastAsia" w:ascii="Times New Roman" w:hAnsi="Times New Roman" w:eastAsia="宋体" w:cs="Times New Roman"/>
          <w:szCs w:val="21"/>
          <w:highlight w:val="none"/>
        </w:rPr>
        <w:t>构件脱模后，表面若出现气泡、蜂窝麻面，应采用专用修补浆料进行修补，干燥后用细砂纸打磨修补面，增加平整度，减小修补色差。</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default"/>
          <w:b w:val="0"/>
          <w:bCs w:val="0"/>
          <w:highlight w:val="none"/>
        </w:rPr>
        <w:t xml:space="preserve">  </w:t>
      </w:r>
      <w:r>
        <w:rPr>
          <w:rFonts w:hint="eastAsia" w:ascii="Times New Roman" w:hAnsi="Times New Roman" w:eastAsia="宋体" w:cs="Times New Roman"/>
          <w:szCs w:val="21"/>
          <w:highlight w:val="none"/>
        </w:rPr>
        <w:t>构件脱模后，当出现表面破损和裂缝时，应按表6</w:t>
      </w:r>
      <w:r>
        <w:rPr>
          <w:rFonts w:hint="eastAsia" w:ascii="宋体" w:hAnsi="宋体" w:eastAsia="宋体" w:cs="宋体"/>
          <w:b w:val="0"/>
          <w:bCs w:val="0"/>
          <w:szCs w:val="21"/>
          <w:highlight w:val="none"/>
        </w:rPr>
        <w:t>.</w:t>
      </w:r>
      <w:r>
        <w:rPr>
          <w:rFonts w:hint="eastAsia" w:ascii="Times New Roman" w:hAnsi="Times New Roman" w:eastAsia="宋体" w:cs="Times New Roman"/>
          <w:szCs w:val="21"/>
          <w:highlight w:val="none"/>
        </w:rPr>
        <w:t>6</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9的规定作修补使用或废弃处理。修补后的混凝土外观质量应满足设计要求。</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eastAsia" w:ascii="Times New Roman" w:hAnsi="Times New Roman" w:eastAsia="黑体" w:cs="Times New Roman"/>
          <w:b/>
          <w:bCs/>
          <w:sz w:val="18"/>
          <w:szCs w:val="18"/>
          <w:highlight w:val="none"/>
        </w:rPr>
        <w:t>6</w:t>
      </w:r>
      <w:r>
        <w:rPr>
          <w:rFonts w:hint="eastAsia" w:ascii="宋体" w:hAnsi="宋体" w:eastAsia="宋体" w:cs="宋体"/>
          <w:b/>
          <w:bCs/>
          <w:sz w:val="18"/>
          <w:szCs w:val="18"/>
          <w:highlight w:val="none"/>
        </w:rPr>
        <w:t>.</w:t>
      </w:r>
      <w:r>
        <w:rPr>
          <w:rFonts w:hint="eastAsia" w:ascii="Times New Roman" w:hAnsi="Times New Roman" w:eastAsia="黑体" w:cs="Times New Roman"/>
          <w:b/>
          <w:bCs/>
          <w:sz w:val="18"/>
          <w:szCs w:val="18"/>
          <w:highlight w:val="none"/>
        </w:rPr>
        <w:t>6</w:t>
      </w:r>
      <w:r>
        <w:rPr>
          <w:rFonts w:hint="eastAsia" w:ascii="宋体" w:hAnsi="宋体" w:eastAsia="宋体" w:cs="宋体"/>
          <w:b/>
          <w:bCs/>
          <w:sz w:val="18"/>
          <w:szCs w:val="18"/>
          <w:highlight w:val="none"/>
        </w:rPr>
        <w:t>.</w:t>
      </w:r>
      <w:r>
        <w:rPr>
          <w:rFonts w:hint="eastAsia" w:ascii="Times New Roman" w:hAnsi="Times New Roman" w:eastAsia="黑体" w:cs="Times New Roman"/>
          <w:b/>
          <w:bCs/>
          <w:sz w:val="18"/>
          <w:szCs w:val="18"/>
          <w:highlight w:val="none"/>
        </w:rPr>
        <w:t>9</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构件表面破损和裂缝处理方案</w:t>
      </w:r>
    </w:p>
    <w:tbl>
      <w:tblPr>
        <w:tblStyle w:val="12"/>
        <w:tblW w:w="4998" w:type="pct"/>
        <w:jc w:val="center"/>
        <w:tblLayout w:type="autofit"/>
        <w:tblCellMar>
          <w:top w:w="0" w:type="dxa"/>
          <w:left w:w="11" w:type="dxa"/>
          <w:bottom w:w="0" w:type="dxa"/>
          <w:right w:w="11" w:type="dxa"/>
        </w:tblCellMar>
      </w:tblPr>
      <w:tblGrid>
        <w:gridCol w:w="846"/>
        <w:gridCol w:w="5034"/>
        <w:gridCol w:w="1299"/>
        <w:gridCol w:w="2111"/>
      </w:tblGrid>
      <w:tr>
        <w:tblPrEx>
          <w:tblCellMar>
            <w:top w:w="0" w:type="dxa"/>
            <w:left w:w="11" w:type="dxa"/>
            <w:bottom w:w="0" w:type="dxa"/>
            <w:right w:w="11" w:type="dxa"/>
          </w:tblCellMar>
        </w:tblPrEx>
        <w:trPr>
          <w:trHeight w:val="397" w:hRule="atLeast"/>
          <w:jc w:val="center"/>
        </w:trPr>
        <w:tc>
          <w:tcPr>
            <w:tcW w:w="455" w:type="pct"/>
            <w:tcBorders>
              <w:top w:val="single" w:color="000000" w:sz="12" w:space="0"/>
              <w:left w:val="single" w:color="000000" w:sz="1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项目</w:t>
            </w:r>
          </w:p>
        </w:tc>
        <w:tc>
          <w:tcPr>
            <w:tcW w:w="2709" w:type="pct"/>
            <w:tcBorders>
              <w:top w:val="single" w:color="000000" w:sz="1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现象</w:t>
            </w:r>
          </w:p>
        </w:tc>
        <w:tc>
          <w:tcPr>
            <w:tcW w:w="699" w:type="pct"/>
            <w:tcBorders>
              <w:top w:val="single" w:color="000000" w:sz="1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处理方案</w:t>
            </w:r>
          </w:p>
        </w:tc>
        <w:tc>
          <w:tcPr>
            <w:tcW w:w="1136" w:type="pct"/>
            <w:tcBorders>
              <w:top w:val="single" w:color="000000" w:sz="1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检验方法</w:t>
            </w:r>
          </w:p>
        </w:tc>
      </w:tr>
      <w:tr>
        <w:tblPrEx>
          <w:tblCellMar>
            <w:top w:w="0" w:type="dxa"/>
            <w:left w:w="11" w:type="dxa"/>
            <w:bottom w:w="0" w:type="dxa"/>
            <w:right w:w="11" w:type="dxa"/>
          </w:tblCellMar>
        </w:tblPrEx>
        <w:trPr>
          <w:trHeight w:val="397" w:hRule="atLeast"/>
          <w:jc w:val="center"/>
        </w:trPr>
        <w:tc>
          <w:tcPr>
            <w:tcW w:w="455" w:type="pct"/>
            <w:vMerge w:val="restart"/>
            <w:tcBorders>
              <w:top w:val="single" w:color="000000" w:sz="2" w:space="0"/>
              <w:left w:val="single" w:color="000000" w:sz="1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破损</w:t>
            </w:r>
          </w:p>
        </w:tc>
        <w:tc>
          <w:tcPr>
            <w:tcW w:w="270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1影响结构性能且不能恢复的破损</w:t>
            </w:r>
          </w:p>
        </w:tc>
        <w:tc>
          <w:tcPr>
            <w:tcW w:w="69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废弃</w:t>
            </w:r>
          </w:p>
        </w:tc>
        <w:tc>
          <w:tcPr>
            <w:tcW w:w="1136"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目测</w:t>
            </w:r>
          </w:p>
        </w:tc>
      </w:tr>
      <w:tr>
        <w:tblPrEx>
          <w:tblCellMar>
            <w:top w:w="0" w:type="dxa"/>
            <w:left w:w="11" w:type="dxa"/>
            <w:bottom w:w="0" w:type="dxa"/>
            <w:right w:w="11" w:type="dxa"/>
          </w:tblCellMar>
        </w:tblPrEx>
        <w:trPr>
          <w:trHeight w:val="397" w:hRule="atLeast"/>
          <w:jc w:val="center"/>
        </w:trPr>
        <w:tc>
          <w:tcPr>
            <w:tcW w:w="455" w:type="pct"/>
            <w:vMerge w:val="continue"/>
            <w:tcBorders>
              <w:top w:val="single" w:color="000000" w:sz="2" w:space="0"/>
              <w:left w:val="single" w:color="000000" w:sz="1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70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2影响钢筋、连接件、预埋件锚固的破损</w:t>
            </w:r>
          </w:p>
        </w:tc>
        <w:tc>
          <w:tcPr>
            <w:tcW w:w="69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废弃</w:t>
            </w:r>
          </w:p>
        </w:tc>
        <w:tc>
          <w:tcPr>
            <w:tcW w:w="1136"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目测</w:t>
            </w:r>
          </w:p>
        </w:tc>
      </w:tr>
      <w:tr>
        <w:tblPrEx>
          <w:tblCellMar>
            <w:top w:w="0" w:type="dxa"/>
            <w:left w:w="11" w:type="dxa"/>
            <w:bottom w:w="0" w:type="dxa"/>
            <w:right w:w="11" w:type="dxa"/>
          </w:tblCellMar>
        </w:tblPrEx>
        <w:trPr>
          <w:trHeight w:val="397" w:hRule="atLeast"/>
          <w:jc w:val="center"/>
        </w:trPr>
        <w:tc>
          <w:tcPr>
            <w:tcW w:w="455" w:type="pct"/>
            <w:vMerge w:val="continue"/>
            <w:tcBorders>
              <w:top w:val="single" w:color="000000" w:sz="2" w:space="0"/>
              <w:left w:val="single" w:color="000000" w:sz="1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70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3上述1，2以外的，破损长度超过20mm</w:t>
            </w:r>
          </w:p>
        </w:tc>
        <w:tc>
          <w:tcPr>
            <w:tcW w:w="69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修补l</w:t>
            </w:r>
          </w:p>
        </w:tc>
        <w:tc>
          <w:tcPr>
            <w:tcW w:w="1136"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目测、卡尺测量</w:t>
            </w:r>
          </w:p>
        </w:tc>
      </w:tr>
      <w:tr>
        <w:tblPrEx>
          <w:tblCellMar>
            <w:top w:w="0" w:type="dxa"/>
            <w:left w:w="11" w:type="dxa"/>
            <w:bottom w:w="0" w:type="dxa"/>
            <w:right w:w="11" w:type="dxa"/>
          </w:tblCellMar>
        </w:tblPrEx>
        <w:trPr>
          <w:trHeight w:val="397" w:hRule="atLeast"/>
          <w:jc w:val="center"/>
        </w:trPr>
        <w:tc>
          <w:tcPr>
            <w:tcW w:w="455" w:type="pct"/>
            <w:vMerge w:val="continue"/>
            <w:tcBorders>
              <w:top w:val="single" w:color="000000" w:sz="2" w:space="0"/>
              <w:left w:val="single" w:color="000000" w:sz="1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70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4上述1，2以外的，破损长度</w:t>
            </w:r>
            <w:r>
              <w:rPr>
                <w:rFonts w:hint="eastAsia" w:cs="Times New Roman"/>
                <w:sz w:val="15"/>
                <w:szCs w:val="15"/>
                <w:highlight w:val="none"/>
                <w:lang w:val="en-US" w:eastAsia="zh-CN"/>
              </w:rPr>
              <w:t>2</w:t>
            </w:r>
            <w:r>
              <w:rPr>
                <w:rFonts w:hint="eastAsia" w:ascii="Times New Roman" w:hAnsi="Times New Roman" w:eastAsia="宋体" w:cs="Times New Roman"/>
                <w:sz w:val="15"/>
                <w:szCs w:val="15"/>
                <w:highlight w:val="none"/>
              </w:rPr>
              <w:t>0mm以下</w:t>
            </w:r>
          </w:p>
        </w:tc>
        <w:tc>
          <w:tcPr>
            <w:tcW w:w="69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现场修补</w:t>
            </w:r>
          </w:p>
        </w:tc>
        <w:tc>
          <w:tcPr>
            <w:tcW w:w="1136"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目测、卡尺测量</w:t>
            </w:r>
          </w:p>
        </w:tc>
      </w:tr>
      <w:tr>
        <w:tblPrEx>
          <w:tblCellMar>
            <w:top w:w="0" w:type="dxa"/>
            <w:left w:w="11" w:type="dxa"/>
            <w:bottom w:w="0" w:type="dxa"/>
            <w:right w:w="11" w:type="dxa"/>
          </w:tblCellMar>
        </w:tblPrEx>
        <w:trPr>
          <w:trHeight w:val="397" w:hRule="atLeast"/>
          <w:jc w:val="center"/>
        </w:trPr>
        <w:tc>
          <w:tcPr>
            <w:tcW w:w="455" w:type="pct"/>
            <w:vMerge w:val="restart"/>
            <w:tcBorders>
              <w:top w:val="single" w:color="000000" w:sz="2" w:space="0"/>
              <w:left w:val="single" w:color="000000" w:sz="12" w:space="0"/>
              <w:bottom w:val="single" w:color="000000" w:sz="4"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裂缝</w:t>
            </w:r>
          </w:p>
        </w:tc>
        <w:tc>
          <w:tcPr>
            <w:tcW w:w="270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1影响结构性能且不能恢复的裂缝</w:t>
            </w:r>
          </w:p>
        </w:tc>
        <w:tc>
          <w:tcPr>
            <w:tcW w:w="69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废弃</w:t>
            </w:r>
          </w:p>
        </w:tc>
        <w:tc>
          <w:tcPr>
            <w:tcW w:w="1136"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目测</w:t>
            </w:r>
          </w:p>
        </w:tc>
      </w:tr>
      <w:tr>
        <w:tblPrEx>
          <w:tblCellMar>
            <w:top w:w="0" w:type="dxa"/>
            <w:left w:w="11" w:type="dxa"/>
            <w:bottom w:w="0" w:type="dxa"/>
            <w:right w:w="11" w:type="dxa"/>
          </w:tblCellMar>
        </w:tblPrEx>
        <w:trPr>
          <w:trHeight w:val="397" w:hRule="atLeast"/>
          <w:jc w:val="center"/>
        </w:trPr>
        <w:tc>
          <w:tcPr>
            <w:tcW w:w="455" w:type="pct"/>
            <w:vMerge w:val="continue"/>
            <w:tcBorders>
              <w:top w:val="single" w:color="000000" w:sz="2" w:space="0"/>
              <w:left w:val="single" w:color="000000" w:sz="12" w:space="0"/>
              <w:bottom w:val="single" w:color="000000" w:sz="4"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70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2影响钢筋、连接件、预埋件锚固的裂缝</w:t>
            </w:r>
          </w:p>
        </w:tc>
        <w:tc>
          <w:tcPr>
            <w:tcW w:w="69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废弃</w:t>
            </w:r>
          </w:p>
        </w:tc>
        <w:tc>
          <w:tcPr>
            <w:tcW w:w="1136"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目测</w:t>
            </w:r>
          </w:p>
        </w:tc>
      </w:tr>
      <w:tr>
        <w:tblPrEx>
          <w:tblCellMar>
            <w:top w:w="0" w:type="dxa"/>
            <w:left w:w="11" w:type="dxa"/>
            <w:bottom w:w="0" w:type="dxa"/>
            <w:right w:w="11" w:type="dxa"/>
          </w:tblCellMar>
        </w:tblPrEx>
        <w:trPr>
          <w:trHeight w:val="397" w:hRule="atLeast"/>
          <w:jc w:val="center"/>
        </w:trPr>
        <w:tc>
          <w:tcPr>
            <w:tcW w:w="455" w:type="pct"/>
            <w:vMerge w:val="continue"/>
            <w:tcBorders>
              <w:top w:val="single" w:color="000000" w:sz="2" w:space="0"/>
              <w:left w:val="single" w:color="000000" w:sz="12" w:space="0"/>
              <w:bottom w:val="single" w:color="000000" w:sz="4"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70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3裂缝宽度大于0.3mm、且裂缝长度超300mm</w:t>
            </w:r>
          </w:p>
        </w:tc>
        <w:tc>
          <w:tcPr>
            <w:tcW w:w="69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废弃</w:t>
            </w:r>
          </w:p>
        </w:tc>
        <w:tc>
          <w:tcPr>
            <w:tcW w:w="1136"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目测、卡尺测量</w:t>
            </w:r>
          </w:p>
        </w:tc>
      </w:tr>
      <w:tr>
        <w:tblPrEx>
          <w:tblCellMar>
            <w:top w:w="0" w:type="dxa"/>
            <w:left w:w="11" w:type="dxa"/>
            <w:bottom w:w="0" w:type="dxa"/>
            <w:right w:w="11" w:type="dxa"/>
          </w:tblCellMar>
        </w:tblPrEx>
        <w:trPr>
          <w:trHeight w:val="397" w:hRule="atLeast"/>
          <w:jc w:val="center"/>
        </w:trPr>
        <w:tc>
          <w:tcPr>
            <w:tcW w:w="455" w:type="pct"/>
            <w:vMerge w:val="continue"/>
            <w:tcBorders>
              <w:top w:val="single" w:color="000000" w:sz="2" w:space="0"/>
              <w:left w:val="single" w:color="000000" w:sz="12" w:space="0"/>
              <w:bottom w:val="single" w:color="000000" w:sz="4"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70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4上述1，2，3以外的，裂缝宽度超过0.2mm</w:t>
            </w:r>
          </w:p>
        </w:tc>
        <w:tc>
          <w:tcPr>
            <w:tcW w:w="699" w:type="pct"/>
            <w:tcBorders>
              <w:top w:val="single" w:color="000000" w:sz="2" w:space="0"/>
              <w:left w:val="single" w:color="000000" w:sz="2" w:space="0"/>
              <w:bottom w:val="single" w:color="000000" w:sz="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修补2</w:t>
            </w:r>
          </w:p>
        </w:tc>
        <w:tc>
          <w:tcPr>
            <w:tcW w:w="1136" w:type="pct"/>
            <w:tcBorders>
              <w:top w:val="single" w:color="000000" w:sz="2" w:space="0"/>
              <w:left w:val="single" w:color="000000" w:sz="2" w:space="0"/>
              <w:bottom w:val="single" w:color="000000" w:sz="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目测、卡尺测量</w:t>
            </w:r>
          </w:p>
        </w:tc>
      </w:tr>
      <w:tr>
        <w:tblPrEx>
          <w:tblCellMar>
            <w:top w:w="0" w:type="dxa"/>
            <w:left w:w="11" w:type="dxa"/>
            <w:bottom w:w="0" w:type="dxa"/>
            <w:right w:w="11" w:type="dxa"/>
          </w:tblCellMar>
        </w:tblPrEx>
        <w:trPr>
          <w:trHeight w:val="397" w:hRule="atLeast"/>
          <w:jc w:val="center"/>
        </w:trPr>
        <w:tc>
          <w:tcPr>
            <w:tcW w:w="455" w:type="pct"/>
            <w:vMerge w:val="continue"/>
            <w:tcBorders>
              <w:top w:val="single" w:color="000000" w:sz="2" w:space="0"/>
              <w:left w:val="single" w:color="000000" w:sz="12" w:space="0"/>
              <w:bottom w:val="single" w:color="000000" w:sz="1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709" w:type="pct"/>
            <w:tcBorders>
              <w:top w:val="single" w:color="000000" w:sz="2" w:space="0"/>
              <w:left w:val="single" w:color="000000" w:sz="2" w:space="0"/>
              <w:bottom w:val="single" w:color="000000" w:sz="1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5上述1，2，3以外的，裂缝宽度不足0.2mm</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且在外表面时</w:t>
            </w:r>
          </w:p>
        </w:tc>
        <w:tc>
          <w:tcPr>
            <w:tcW w:w="699" w:type="pct"/>
            <w:tcBorders>
              <w:top w:val="single" w:color="000000" w:sz="2" w:space="0"/>
              <w:left w:val="single" w:color="000000" w:sz="2" w:space="0"/>
              <w:bottom w:val="single" w:color="000000" w:sz="12" w:space="0"/>
              <w:right w:val="single" w:color="000000" w:sz="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修补3</w:t>
            </w:r>
          </w:p>
        </w:tc>
        <w:tc>
          <w:tcPr>
            <w:tcW w:w="1136" w:type="pct"/>
            <w:tcBorders>
              <w:top w:val="single" w:color="000000" w:sz="2" w:space="0"/>
              <w:left w:val="single" w:color="000000" w:sz="2" w:space="0"/>
              <w:bottom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目测、卡尺测量</w:t>
            </w:r>
          </w:p>
        </w:tc>
      </w:tr>
    </w:tbl>
    <w:p>
      <w:pPr>
        <w:spacing w:line="240" w:lineRule="auto"/>
        <w:ind w:firstLine="380" w:firstLineChars="200"/>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注：修补l：用不低于混凝土设计强度的专用修补浆料修补；</w:t>
      </w:r>
    </w:p>
    <w:p>
      <w:pPr>
        <w:spacing w:line="240" w:lineRule="auto"/>
        <w:ind w:firstLine="760" w:firstLineChars="400"/>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修补2：用环氧树脂浆料修补；</w:t>
      </w:r>
    </w:p>
    <w:p>
      <w:pPr>
        <w:spacing w:line="240" w:lineRule="auto"/>
        <w:ind w:firstLine="760" w:firstLineChars="400"/>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修补3：用专用防水浆料修补。</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301" w:name="_Toc91852642"/>
      <w:bookmarkStart w:id="302" w:name="_Toc116895384"/>
      <w:bookmarkStart w:id="303" w:name="_Toc117169872"/>
      <w:bookmarkStart w:id="304" w:name="_Toc4502"/>
      <w:bookmarkStart w:id="305" w:name="_Toc116581572"/>
      <w:bookmarkStart w:id="306" w:name="_Toc152772873"/>
      <w:bookmarkStart w:id="307" w:name="_Toc15973"/>
      <w:bookmarkStart w:id="308" w:name="_Toc30929"/>
      <w:bookmarkStart w:id="309" w:name="_Toc153205494"/>
      <w:bookmarkStart w:id="310" w:name="_Toc143007029"/>
      <w:bookmarkStart w:id="311" w:name="_Toc154586188"/>
      <w:r>
        <w:rPr>
          <w:rFonts w:hint="eastAsia" w:ascii="Times New Roman" w:hAnsi="Times New Roman" w:eastAsia="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Times New Roman" w:hAnsi="Times New Roman" w:eastAsia="宋体"/>
          <w:sz w:val="21"/>
          <w:szCs w:val="21"/>
          <w:highlight w:val="none"/>
          <w:lang w:val="en-US" w:eastAsia="zh-CN"/>
        </w:rPr>
        <w:t>7</w:t>
      </w:r>
      <w:r>
        <w:rPr>
          <w:rFonts w:hint="eastAsia" w:ascii="黑体" w:hAnsi="黑体" w:eastAsia="黑体"/>
          <w:b w:val="0"/>
          <w:sz w:val="21"/>
          <w:szCs w:val="21"/>
          <w:highlight w:val="none"/>
          <w:lang w:val="en-US" w:eastAsia="zh-CN"/>
        </w:rPr>
        <w:t xml:space="preserve">  厂 内 堆 放</w:t>
      </w:r>
      <w:bookmarkEnd w:id="301"/>
      <w:bookmarkEnd w:id="302"/>
      <w:bookmarkEnd w:id="303"/>
      <w:bookmarkEnd w:id="304"/>
      <w:bookmarkEnd w:id="305"/>
      <w:bookmarkEnd w:id="306"/>
      <w:bookmarkEnd w:id="307"/>
      <w:bookmarkEnd w:id="308"/>
      <w:bookmarkEnd w:id="309"/>
      <w:bookmarkEnd w:id="310"/>
      <w:bookmarkEnd w:id="311"/>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default"/>
          <w:b w:val="0"/>
          <w:bCs w:val="0"/>
          <w:highlight w:val="none"/>
        </w:rPr>
        <w:t xml:space="preserve">  </w:t>
      </w:r>
      <w:r>
        <w:rPr>
          <w:rFonts w:hint="eastAsia" w:ascii="Times New Roman" w:hAnsi="Times New Roman" w:eastAsia="宋体" w:cs="Times New Roman"/>
          <w:szCs w:val="21"/>
          <w:highlight w:val="none"/>
        </w:rPr>
        <w:t>预制混凝土构件的存放场地宜为混凝土硬化地面或经人工处理的自然地坪</w:t>
      </w:r>
      <w:r>
        <w:rPr>
          <w:rFonts w:hint="eastAsia" w:cs="Times New Roman"/>
          <w:szCs w:val="21"/>
          <w:highlight w:val="none"/>
          <w:lang w:eastAsia="zh-CN"/>
        </w:rPr>
        <w:t>，</w:t>
      </w:r>
      <w:r>
        <w:rPr>
          <w:rFonts w:hint="eastAsia" w:ascii="Times New Roman" w:hAnsi="Times New Roman" w:eastAsia="宋体" w:cs="Times New Roman"/>
          <w:szCs w:val="21"/>
          <w:highlight w:val="none"/>
        </w:rPr>
        <w:t>满足平整度和地基承载力要求，并应有良好排水措施。</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default"/>
          <w:b w:val="0"/>
          <w:bCs w:val="0"/>
          <w:highlight w:val="none"/>
        </w:rPr>
        <w:t xml:space="preserve">  </w:t>
      </w:r>
      <w:r>
        <w:rPr>
          <w:rFonts w:hint="eastAsia" w:ascii="Times New Roman" w:hAnsi="Times New Roman" w:eastAsia="宋体" w:cs="Times New Roman"/>
          <w:szCs w:val="21"/>
          <w:highlight w:val="none"/>
        </w:rPr>
        <w:t>预制混凝土构件存货架应满足强度、刚度、稳定性要求。</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default"/>
          <w:b w:val="0"/>
          <w:bCs w:val="0"/>
          <w:highlight w:val="none"/>
        </w:rPr>
        <w:t xml:space="preserve">  </w:t>
      </w:r>
      <w:r>
        <w:rPr>
          <w:rFonts w:hint="eastAsia" w:ascii="Times New Roman" w:hAnsi="Times New Roman" w:eastAsia="宋体" w:cs="Times New Roman"/>
          <w:szCs w:val="21"/>
          <w:highlight w:val="none"/>
        </w:rPr>
        <w:t>预制混凝土构件应按项目、楼栋、楼层、规格型号分别存放，构件堆放区域应标明项目的信息，以便构件查找及管理。</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default"/>
          <w:b w:val="0"/>
          <w:bCs w:val="0"/>
          <w:highlight w:val="none"/>
        </w:rPr>
        <w:t xml:space="preserve">  </w:t>
      </w:r>
      <w:r>
        <w:rPr>
          <w:rFonts w:hint="eastAsia" w:ascii="Times New Roman" w:hAnsi="Times New Roman" w:eastAsia="宋体" w:cs="Times New Roman"/>
          <w:szCs w:val="21"/>
          <w:highlight w:val="none"/>
        </w:rPr>
        <w:t>预制混凝土构件在厂区转运及存放过程中应避免不合理受力造成构件变形和损伤。翻转过程中，与地面接触的棱角之间应用工业橡胶垫块等柔性垫片做好构件棱角保护。</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default"/>
          <w:b w:val="0"/>
          <w:bCs w:val="0"/>
          <w:highlight w:val="none"/>
        </w:rPr>
        <w:t xml:space="preserve">  </w:t>
      </w:r>
      <w:r>
        <w:rPr>
          <w:rFonts w:hint="eastAsia" w:ascii="Times New Roman" w:hAnsi="Times New Roman" w:eastAsia="宋体" w:cs="Times New Roman"/>
          <w:szCs w:val="21"/>
          <w:highlight w:val="none"/>
        </w:rPr>
        <w:t>预制混凝土构件在堆放以及装车过程中，应采用慢起、稳升、缓放的操作方式，吊运过程应保持稳定平衡，不应偏斜、摇摆和扭转，严禁构件长时间悬停等待。</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default"/>
          <w:b w:val="0"/>
          <w:bCs w:val="0"/>
          <w:highlight w:val="none"/>
        </w:rPr>
        <w:t xml:space="preserve">  </w:t>
      </w:r>
      <w:r>
        <w:rPr>
          <w:rFonts w:hint="eastAsia" w:ascii="Times New Roman" w:hAnsi="Times New Roman" w:eastAsia="宋体" w:cs="Times New Roman"/>
          <w:szCs w:val="21"/>
          <w:highlight w:val="none"/>
        </w:rPr>
        <w:t>预制混凝土构件应按吊装、存放的受力特征选择卡具、索具、托架等吊装和固定措施，并应符合下列规定：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在存放过程中预制混凝土构件与刚性搁置点之间应设置柔性垫片；</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柱、梁等细长预制混凝土构件存储宜平放，且采用垫木支撑；</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楼板、楼梯、阳台板存储宜平放，采用专用存放架支撑；</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外墙宜采用托架立放，上部两点支撑；</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default"/>
          <w:b w:val="0"/>
          <w:bCs w:val="0"/>
          <w:highlight w:val="none"/>
        </w:rPr>
        <w:t xml:space="preserve">  </w:t>
      </w:r>
      <w:r>
        <w:rPr>
          <w:rFonts w:hint="eastAsia" w:ascii="Times New Roman" w:hAnsi="Times New Roman" w:eastAsia="宋体" w:cs="Times New Roman"/>
          <w:szCs w:val="21"/>
          <w:highlight w:val="none"/>
        </w:rPr>
        <w:t>预制混凝土构件脱模后，在吊装、存放、运输过程中应对产品进行保护，并符合下列要求：</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木垫块表面宜覆盖塑料膜防止污染构件；</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钢筋连接套筒和预埋螺栓孔应采取封堵措施；</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外露预埋件和连结件等外露金属件应按不同环境类别进行防护或防腐、防锈。</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default"/>
          <w:b w:val="0"/>
          <w:bCs w:val="0"/>
          <w:highlight w:val="none"/>
        </w:rPr>
        <w:t xml:space="preserve">  </w:t>
      </w:r>
      <w:r>
        <w:rPr>
          <w:rFonts w:hint="eastAsia" w:ascii="Times New Roman" w:hAnsi="Times New Roman" w:eastAsia="宋体" w:cs="Times New Roman"/>
          <w:szCs w:val="21"/>
          <w:highlight w:val="none"/>
        </w:rPr>
        <w:t>构件与构件之间应留出一定空隙，以便人员在对产品进行检查、查找、维修时有操作空间。</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312" w:name="_Toc154586189"/>
      <w:bookmarkStart w:id="313" w:name="_Toc116581567"/>
      <w:bookmarkStart w:id="314" w:name="_Toc15445"/>
      <w:bookmarkStart w:id="315" w:name="_Toc14334"/>
      <w:bookmarkStart w:id="316" w:name="_Toc143007024"/>
      <w:bookmarkStart w:id="317" w:name="_Toc13256"/>
      <w:bookmarkStart w:id="318" w:name="_Toc153205495"/>
      <w:bookmarkStart w:id="319" w:name="_Toc116895379"/>
      <w:r>
        <w:rPr>
          <w:rFonts w:hint="eastAsia" w:ascii="Times New Roman" w:hAnsi="Times New Roman" w:eastAsia="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Times New Roman" w:hAnsi="Times New Roman" w:eastAsia="宋体"/>
          <w:sz w:val="21"/>
          <w:szCs w:val="21"/>
          <w:highlight w:val="none"/>
          <w:lang w:val="en-US" w:eastAsia="zh-CN"/>
        </w:rPr>
        <w:t>8</w:t>
      </w:r>
      <w:r>
        <w:rPr>
          <w:rFonts w:hint="eastAsia" w:ascii="黑体" w:hAnsi="黑体" w:eastAsia="黑体"/>
          <w:b w:val="0"/>
          <w:sz w:val="21"/>
          <w:szCs w:val="21"/>
          <w:highlight w:val="none"/>
          <w:lang w:val="en-US" w:eastAsia="zh-CN"/>
        </w:rPr>
        <w:t xml:space="preserve">  产 </w:t>
      </w:r>
      <w:r>
        <w:rPr>
          <w:rFonts w:hint="eastAsia" w:ascii="黑体" w:hAnsi="黑体" w:eastAsia="黑体" w:cs="黑体"/>
          <w:b w:val="0"/>
          <w:bCs/>
          <w:kern w:val="2"/>
          <w:sz w:val="21"/>
          <w:szCs w:val="21"/>
          <w:highlight w:val="none"/>
          <w:lang w:val="en-US" w:eastAsia="zh-CN" w:bidi="ar-SA"/>
        </w:rPr>
        <w:t>品 检</w:t>
      </w:r>
      <w:r>
        <w:rPr>
          <w:rFonts w:hint="eastAsia" w:ascii="黑体" w:hAnsi="黑体" w:eastAsia="黑体"/>
          <w:b w:val="0"/>
          <w:sz w:val="21"/>
          <w:szCs w:val="21"/>
          <w:highlight w:val="none"/>
          <w:lang w:val="en-US" w:eastAsia="zh-CN"/>
        </w:rPr>
        <w:t xml:space="preserve"> 查</w:t>
      </w:r>
      <w:bookmarkEnd w:id="312"/>
      <w:bookmarkEnd w:id="313"/>
      <w:bookmarkEnd w:id="314"/>
      <w:bookmarkEnd w:id="315"/>
      <w:bookmarkEnd w:id="316"/>
      <w:bookmarkEnd w:id="317"/>
      <w:bookmarkEnd w:id="318"/>
      <w:bookmarkEnd w:id="319"/>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default"/>
          <w:b w:val="0"/>
          <w:bCs w:val="0"/>
          <w:highlight w:val="none"/>
        </w:rPr>
        <w:t xml:space="preserve">  </w:t>
      </w:r>
      <w:r>
        <w:rPr>
          <w:rFonts w:hint="eastAsia" w:ascii="Times New Roman" w:hAnsi="Times New Roman" w:eastAsia="宋体" w:cs="Times New Roman"/>
          <w:szCs w:val="21"/>
          <w:highlight w:val="none"/>
        </w:rPr>
        <w:t>预制混凝土构件脱模后应对成品外观质量和成品尺寸进行全面检查。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default"/>
          <w:b w:val="0"/>
          <w:bCs w:val="0"/>
          <w:highlight w:val="none"/>
        </w:rPr>
        <w:t xml:space="preserve">  </w:t>
      </w:r>
      <w:r>
        <w:rPr>
          <w:rFonts w:hint="eastAsia" w:ascii="Times New Roman" w:hAnsi="Times New Roman" w:eastAsia="宋体" w:cs="Times New Roman"/>
          <w:szCs w:val="21"/>
          <w:highlight w:val="none"/>
        </w:rPr>
        <w:t>预制混凝土构件的成品质量应符合</w:t>
      </w:r>
      <w:r>
        <w:rPr>
          <w:rFonts w:hint="eastAsia" w:cs="Times New Roman"/>
          <w:szCs w:val="21"/>
          <w:highlight w:val="none"/>
          <w:lang w:eastAsia="zh-CN"/>
        </w:rPr>
        <w:t>《</w:t>
      </w:r>
      <w:r>
        <w:rPr>
          <w:rFonts w:hint="eastAsia" w:ascii="Times New Roman" w:hAnsi="Times New Roman" w:eastAsia="宋体" w:cs="Times New Roman"/>
          <w:szCs w:val="21"/>
          <w:highlight w:val="none"/>
        </w:rPr>
        <w:t>混凝土结构工程施工质量</w:t>
      </w:r>
      <w:r>
        <w:rPr>
          <w:rFonts w:hint="eastAsia" w:ascii="Times New Roman" w:hAnsi="Times New Roman" w:eastAsia="宋体" w:cs="Times New Roman"/>
          <w:color w:val="auto"/>
          <w:szCs w:val="21"/>
          <w:highlight w:val="none"/>
        </w:rPr>
        <w:t>验收规范</w:t>
      </w:r>
      <w:r>
        <w:rPr>
          <w:rFonts w:hint="eastAsia" w:cs="Times New Roman"/>
          <w:color w:val="auto"/>
          <w:sz w:val="21"/>
          <w:szCs w:val="21"/>
          <w:highlight w:val="none"/>
          <w:lang w:eastAsia="zh-CN"/>
        </w:rPr>
        <w:t>》</w:t>
      </w:r>
      <w:r>
        <w:rPr>
          <w:rFonts w:hint="eastAsia" w:ascii="Times New Roman" w:hAnsi="Times New Roman" w:eastAsia="宋体" w:cs="Times New Roman"/>
          <w:color w:val="auto"/>
          <w:szCs w:val="21"/>
          <w:highlight w:val="none"/>
        </w:rPr>
        <w:t>GB 50204</w:t>
      </w:r>
      <w:r>
        <w:rPr>
          <w:rFonts w:hint="eastAsia" w:ascii="Times New Roman" w:hAnsi="Times New Roman" w:eastAsia="宋体" w:cs="Times New Roman"/>
          <w:szCs w:val="21"/>
          <w:highlight w:val="none"/>
        </w:rPr>
        <w:t>和</w:t>
      </w:r>
      <w:r>
        <w:rPr>
          <w:rFonts w:hint="eastAsia" w:cs="Times New Roman"/>
          <w:szCs w:val="21"/>
          <w:highlight w:val="none"/>
          <w:lang w:val="en-US" w:eastAsia="zh-CN"/>
        </w:rPr>
        <w:t>深圳市</w:t>
      </w:r>
      <w:r>
        <w:rPr>
          <w:rFonts w:hint="eastAsia" w:ascii="Times New Roman" w:hAnsi="Times New Roman" w:eastAsia="宋体" w:cs="Times New Roman"/>
          <w:szCs w:val="21"/>
          <w:highlight w:val="none"/>
        </w:rPr>
        <w:t>《预制混凝土构件质量</w:t>
      </w:r>
      <w:r>
        <w:rPr>
          <w:rFonts w:hint="eastAsia" w:ascii="Times New Roman" w:hAnsi="Times New Roman" w:eastAsia="宋体" w:cs="Times New Roman"/>
          <w:szCs w:val="21"/>
          <w:highlight w:val="none"/>
          <w:lang w:val="en-US" w:eastAsia="zh-CN"/>
        </w:rPr>
        <w:t>检验与验收标准</w:t>
      </w:r>
      <w:r>
        <w:rPr>
          <w:rFonts w:hint="eastAsia" w:ascii="Times New Roman" w:hAnsi="Times New Roman" w:eastAsia="宋体" w:cs="Times New Roman"/>
          <w:szCs w:val="21"/>
          <w:highlight w:val="none"/>
        </w:rPr>
        <w:t>》的有关规定。</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default"/>
          <w:b w:val="0"/>
          <w:bCs w:val="0"/>
          <w:highlight w:val="none"/>
        </w:rPr>
        <w:t xml:space="preserve">  </w:t>
      </w:r>
      <w:r>
        <w:rPr>
          <w:rFonts w:hint="eastAsia" w:ascii="Times New Roman" w:hAnsi="Times New Roman" w:eastAsia="宋体" w:cs="Times New Roman"/>
          <w:szCs w:val="21"/>
          <w:highlight w:val="none"/>
        </w:rPr>
        <w:t>预制混凝土构件的连接套筒、预埋件、预留孔洞的型号、数量及位置应全数检查。</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default"/>
          <w:b w:val="0"/>
          <w:bCs w:val="0"/>
          <w:highlight w:val="none"/>
        </w:rPr>
        <w:t xml:space="preserve">  </w:t>
      </w:r>
      <w:r>
        <w:rPr>
          <w:rFonts w:hint="eastAsia" w:ascii="Times New Roman" w:hAnsi="Times New Roman" w:eastAsia="宋体" w:cs="Times New Roman"/>
          <w:szCs w:val="21"/>
          <w:highlight w:val="none"/>
        </w:rPr>
        <w:t>预制混凝土构件外露钢筋的型号、尺寸、位置及弯曲形状应严格遵循设计要求，进行全面检查。</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default"/>
          <w:b w:val="0"/>
          <w:bCs w:val="0"/>
          <w:highlight w:val="none"/>
        </w:rPr>
        <w:t xml:space="preserve">  </w:t>
      </w:r>
      <w:r>
        <w:rPr>
          <w:rFonts w:hint="eastAsia" w:ascii="Times New Roman" w:hAnsi="Times New Roman" w:eastAsia="宋体" w:cs="Times New Roman"/>
          <w:szCs w:val="21"/>
          <w:highlight w:val="none"/>
        </w:rPr>
        <w:t>预制混凝土构件不应有影响结构性能、安装和使用功能的尺寸偏差。</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default"/>
          <w:b w:val="0"/>
          <w:bCs w:val="0"/>
          <w:highlight w:val="none"/>
        </w:rPr>
        <w:t xml:space="preserve">  </w:t>
      </w:r>
      <w:r>
        <w:rPr>
          <w:rFonts w:hint="eastAsia" w:ascii="Times New Roman" w:hAnsi="Times New Roman" w:eastAsia="宋体" w:cs="Times New Roman"/>
          <w:szCs w:val="21"/>
          <w:highlight w:val="none"/>
        </w:rPr>
        <w:t>不合格构件应在构件显著位置进行标识，与合格产品分区存放。</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320" w:name="_Toc32291"/>
      <w:bookmarkStart w:id="321" w:name="_Toc5498"/>
      <w:bookmarkStart w:id="322" w:name="_Toc382558671"/>
      <w:bookmarkStart w:id="323" w:name="_Toc32309"/>
      <w:bookmarkStart w:id="324" w:name="_Toc20050"/>
      <w:bookmarkStart w:id="325" w:name="_Toc10411"/>
      <w:bookmarkStart w:id="326" w:name="_Toc24794"/>
      <w:bookmarkStart w:id="327" w:name="_Toc387912838"/>
      <w:bookmarkStart w:id="328" w:name="_Toc884"/>
      <w:bookmarkStart w:id="329" w:name="_Toc18977"/>
      <w:bookmarkStart w:id="330" w:name="_Toc31787"/>
      <w:bookmarkStart w:id="331" w:name="_Toc7483"/>
      <w:bookmarkStart w:id="332" w:name="_Toc19376"/>
      <w:bookmarkStart w:id="333" w:name="_Toc389227369"/>
      <w:bookmarkStart w:id="334" w:name="_Toc18107"/>
      <w:bookmarkStart w:id="335" w:name="_Toc10551"/>
      <w:bookmarkStart w:id="336" w:name="_Toc393377997"/>
      <w:bookmarkStart w:id="337" w:name="_Toc462409544"/>
      <w:bookmarkStart w:id="338" w:name="_Toc143007025"/>
      <w:bookmarkStart w:id="339" w:name="_Toc19518"/>
      <w:bookmarkStart w:id="340" w:name="_Toc11055"/>
      <w:bookmarkStart w:id="341" w:name="_Toc11160015"/>
      <w:bookmarkStart w:id="342" w:name="_Toc116581568"/>
      <w:bookmarkStart w:id="343" w:name="_Toc154586190"/>
      <w:bookmarkStart w:id="344" w:name="_Toc116895380"/>
      <w:bookmarkStart w:id="345" w:name="_Toc153205496"/>
      <w:bookmarkStart w:id="346" w:name="_Toc11752"/>
      <w:r>
        <w:rPr>
          <w:rFonts w:hint="eastAsia" w:ascii="Times New Roman" w:hAnsi="Times New Roman" w:eastAsia="宋体"/>
          <w:sz w:val="21"/>
          <w:szCs w:val="21"/>
          <w:highlight w:val="none"/>
          <w:lang w:val="en-US" w:eastAsia="zh-CN"/>
        </w:rPr>
        <w:t>6</w:t>
      </w:r>
      <w:r>
        <w:rPr>
          <w:rFonts w:hint="eastAsia" w:ascii="宋体" w:hAnsi="宋体" w:eastAsia="宋体" w:cs="宋体"/>
          <w:sz w:val="21"/>
          <w:szCs w:val="21"/>
          <w:highlight w:val="none"/>
          <w:lang w:val="en-US" w:eastAsia="zh-CN"/>
        </w:rPr>
        <w: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Fonts w:hint="eastAsia" w:ascii="Times New Roman" w:hAnsi="Times New Roman" w:eastAsia="宋体"/>
          <w:sz w:val="21"/>
          <w:szCs w:val="21"/>
          <w:highlight w:val="none"/>
          <w:lang w:val="en-US" w:eastAsia="zh-CN"/>
        </w:rPr>
        <w:t>9</w:t>
      </w:r>
      <w:r>
        <w:rPr>
          <w:rFonts w:hint="eastAsia" w:ascii="黑体" w:hAnsi="黑体" w:eastAsia="黑体"/>
          <w:b w:val="0"/>
          <w:sz w:val="21"/>
          <w:szCs w:val="21"/>
          <w:highlight w:val="none"/>
          <w:lang w:val="en-US" w:eastAsia="zh-CN"/>
        </w:rPr>
        <w:t xml:space="preserve">  产 </w:t>
      </w:r>
      <w:r>
        <w:rPr>
          <w:rFonts w:hint="eastAsia" w:ascii="黑体" w:hAnsi="黑体" w:eastAsia="黑体" w:cs="黑体"/>
          <w:b w:val="0"/>
          <w:bCs/>
          <w:kern w:val="2"/>
          <w:sz w:val="21"/>
          <w:szCs w:val="21"/>
          <w:highlight w:val="none"/>
          <w:lang w:val="en-US" w:eastAsia="zh-CN" w:bidi="ar-SA"/>
        </w:rPr>
        <w:t>品</w:t>
      </w:r>
      <w:bookmarkEnd w:id="337"/>
      <w:r>
        <w:rPr>
          <w:rFonts w:hint="eastAsia" w:ascii="黑体" w:hAnsi="黑体" w:eastAsia="黑体" w:cs="黑体"/>
          <w:b w:val="0"/>
          <w:bCs/>
          <w:kern w:val="2"/>
          <w:sz w:val="21"/>
          <w:szCs w:val="21"/>
          <w:highlight w:val="none"/>
          <w:lang w:val="en-US" w:eastAsia="zh-CN" w:bidi="ar-SA"/>
        </w:rPr>
        <w:t xml:space="preserve"> 保</w:t>
      </w:r>
      <w:r>
        <w:rPr>
          <w:rFonts w:hint="eastAsia" w:ascii="黑体" w:hAnsi="黑体" w:eastAsia="黑体"/>
          <w:b w:val="0"/>
          <w:sz w:val="21"/>
          <w:szCs w:val="21"/>
          <w:highlight w:val="none"/>
          <w:lang w:val="en-US" w:eastAsia="zh-CN"/>
        </w:rPr>
        <w:t xml:space="preserve"> 护</w:t>
      </w:r>
      <w:bookmarkEnd w:id="338"/>
      <w:bookmarkEnd w:id="339"/>
      <w:bookmarkEnd w:id="340"/>
      <w:bookmarkEnd w:id="341"/>
      <w:bookmarkEnd w:id="342"/>
      <w:bookmarkEnd w:id="343"/>
      <w:bookmarkEnd w:id="344"/>
      <w:bookmarkEnd w:id="345"/>
      <w:bookmarkEnd w:id="346"/>
    </w:p>
    <w:p>
      <w:pPr>
        <w:spacing w:line="240" w:lineRule="auto"/>
        <w:rPr>
          <w:rFonts w:hint="eastAsia" w:ascii="Times New Roman" w:hAnsi="Times New Roman" w:eastAsia="宋体" w:cs="Times New Roman"/>
          <w:szCs w:val="21"/>
          <w:highlight w:val="none"/>
        </w:rPr>
      </w:pPr>
      <w:bookmarkStart w:id="347" w:name="_Toc462409545"/>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default"/>
          <w:b w:val="0"/>
          <w:bCs w:val="0"/>
          <w:highlight w:val="none"/>
        </w:rPr>
        <w:t xml:space="preserve">  </w:t>
      </w:r>
      <w:r>
        <w:rPr>
          <w:rFonts w:hint="eastAsia" w:ascii="Times New Roman" w:hAnsi="Times New Roman" w:eastAsia="宋体" w:cs="Times New Roman"/>
          <w:szCs w:val="21"/>
          <w:highlight w:val="none"/>
        </w:rPr>
        <w:t>预制混凝土构件产品应建立严格有效的保护制度，明确保护内容和职责，制定专项防护措施方案。</w:t>
      </w:r>
    </w:p>
    <w:bookmarkEnd w:id="347"/>
    <w:p>
      <w:pPr>
        <w:spacing w:line="240" w:lineRule="auto"/>
        <w:rPr>
          <w:rFonts w:hint="eastAsia" w:ascii="Times New Roman" w:hAnsi="Times New Roman" w:eastAsia="宋体" w:cs="Times New Roman"/>
          <w:szCs w:val="21"/>
          <w:highlight w:val="none"/>
        </w:rPr>
      </w:pPr>
      <w:bookmarkStart w:id="348" w:name="_Toc462409546"/>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default"/>
          <w:b w:val="0"/>
          <w:bCs w:val="0"/>
          <w:highlight w:val="none"/>
        </w:rPr>
        <w:t xml:space="preserve">  </w:t>
      </w:r>
      <w:r>
        <w:rPr>
          <w:rFonts w:hint="eastAsia" w:ascii="Times New Roman" w:hAnsi="Times New Roman" w:eastAsia="宋体" w:cs="Times New Roman"/>
          <w:szCs w:val="21"/>
          <w:highlight w:val="none"/>
        </w:rPr>
        <w:t>距离预制混凝土构件成品2米内不应进行电焊、气焊作业。</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default"/>
          <w:b w:val="0"/>
          <w:bCs w:val="0"/>
          <w:highlight w:val="none"/>
        </w:rPr>
        <w:t xml:space="preserve">  </w:t>
      </w:r>
      <w:r>
        <w:rPr>
          <w:rFonts w:hint="eastAsia" w:ascii="Times New Roman" w:hAnsi="Times New Roman" w:eastAsia="宋体" w:cs="Times New Roman"/>
          <w:szCs w:val="21"/>
          <w:highlight w:val="none"/>
        </w:rPr>
        <w:t>夏季预制混凝土构件堆放在露天区域时，应做好保湿措施。</w:t>
      </w:r>
    </w:p>
    <w:p>
      <w:pPr>
        <w:spacing w:line="240" w:lineRule="auto"/>
        <w:outlineLvl w:val="9"/>
        <w:rPr>
          <w:rFonts w:hint="eastAsia" w:ascii="Times New Roman" w:hAnsi="Times New Roman" w:eastAsia="宋体" w:cs="Times New Roman"/>
          <w:szCs w:val="21"/>
          <w:highlight w:val="none"/>
        </w:rPr>
      </w:pPr>
      <w:bookmarkStart w:id="349" w:name="_Toc28192"/>
      <w:bookmarkStart w:id="350" w:name="_Toc7954"/>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default"/>
          <w:b w:val="0"/>
          <w:bCs w:val="0"/>
          <w:highlight w:val="none"/>
        </w:rPr>
        <w:t xml:space="preserve">  </w:t>
      </w:r>
      <w:r>
        <w:rPr>
          <w:rFonts w:hint="eastAsia" w:ascii="Times New Roman" w:hAnsi="Times New Roman" w:eastAsia="宋体" w:cs="Times New Roman"/>
          <w:szCs w:val="21"/>
          <w:highlight w:val="none"/>
        </w:rPr>
        <w:t>预制混凝土构件外观保护应符合下列规定：</w:t>
      </w:r>
      <w:bookmarkEnd w:id="349"/>
      <w:bookmarkEnd w:id="350"/>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预制混凝土构件养护水及覆盖物应洁净，不应污染构件表面，清水混凝土宜使用疏水性透明涂料做表面保护；</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门框、窗框和带装饰材料的表面宜采用贴膜或其它防护措施，预制墙板门窗洞口线角宜用木框、PVC或珍珠棉等材料保护；</w:t>
      </w:r>
    </w:p>
    <w:p>
      <w:pPr>
        <w:spacing w:line="240" w:lineRule="auto"/>
        <w:ind w:firstLine="440" w:firstLineChars="200"/>
        <w:outlineLvl w:val="9"/>
        <w:rPr>
          <w:rFonts w:hint="eastAsia" w:ascii="Times New Roman" w:hAnsi="Times New Roman" w:eastAsia="宋体" w:cs="Times New Roman"/>
          <w:szCs w:val="21"/>
          <w:highlight w:val="none"/>
        </w:rPr>
      </w:pPr>
      <w:bookmarkStart w:id="351" w:name="_Toc6388"/>
      <w:bookmarkStart w:id="352" w:name="_Toc28007"/>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钢筋连接套筒和预埋螺栓孔应采取防止堵塞的有效措施；</w:t>
      </w:r>
      <w:bookmarkEnd w:id="351"/>
      <w:bookmarkEnd w:id="352"/>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灌浆套筒的灌浆孔和出浆孔应进行透光检查，及时清理灌浆套筒内的杂物。</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353" w:name="_Toc23831"/>
      <w:bookmarkStart w:id="354" w:name="_Toc154586191"/>
      <w:bookmarkStart w:id="355" w:name="_Toc153205497"/>
      <w:bookmarkStart w:id="356" w:name="_Toc15970"/>
      <w:bookmarkStart w:id="357" w:name="_Toc116581569"/>
      <w:bookmarkStart w:id="358" w:name="_Toc116895381"/>
      <w:bookmarkStart w:id="359" w:name="_Toc12508"/>
      <w:bookmarkStart w:id="360" w:name="_Toc143007026"/>
      <w:r>
        <w:rPr>
          <w:rFonts w:hint="eastAsia" w:ascii="Times New Roman" w:hAnsi="Times New Roman" w:eastAsia="宋体"/>
          <w:sz w:val="21"/>
          <w:szCs w:val="21"/>
          <w:highlight w:val="none"/>
          <w:lang w:val="en-US" w:eastAsia="zh-CN"/>
        </w:rPr>
        <w:t>6</w:t>
      </w:r>
      <w:r>
        <w:rPr>
          <w:rFonts w:hint="eastAsia" w:ascii="宋体" w:hAnsi="宋体" w:eastAsia="宋体" w:cs="宋体"/>
          <w:sz w:val="21"/>
          <w:szCs w:val="21"/>
          <w:highlight w:val="none"/>
          <w:lang w:val="en-US" w:eastAsia="zh-CN"/>
        </w:rPr>
        <w:t>.</w:t>
      </w:r>
      <w:r>
        <w:rPr>
          <w:rFonts w:hint="eastAsia" w:ascii="Times New Roman" w:hAnsi="Times New Roman" w:eastAsia="宋体"/>
          <w:sz w:val="21"/>
          <w:szCs w:val="21"/>
          <w:highlight w:val="none"/>
          <w:lang w:val="en-US" w:eastAsia="zh-CN"/>
        </w:rPr>
        <w:t>10</w:t>
      </w:r>
      <w:r>
        <w:rPr>
          <w:rFonts w:hint="eastAsia" w:ascii="黑体" w:hAnsi="黑体" w:eastAsia="黑体"/>
          <w:b w:val="0"/>
          <w:sz w:val="21"/>
          <w:szCs w:val="21"/>
          <w:highlight w:val="none"/>
          <w:lang w:val="en-US" w:eastAsia="zh-CN"/>
        </w:rPr>
        <w:t xml:space="preserve">  预应力</w:t>
      </w:r>
      <w:r>
        <w:rPr>
          <w:rFonts w:hint="eastAsia" w:ascii="黑体" w:hAnsi="黑体" w:eastAsia="黑体" w:cs="黑体"/>
          <w:b w:val="0"/>
          <w:bCs/>
          <w:kern w:val="2"/>
          <w:sz w:val="21"/>
          <w:szCs w:val="21"/>
          <w:highlight w:val="none"/>
          <w:lang w:val="en-US" w:eastAsia="zh-CN" w:bidi="ar-SA"/>
        </w:rPr>
        <w:t>构件</w:t>
      </w:r>
      <w:bookmarkEnd w:id="353"/>
      <w:bookmarkEnd w:id="354"/>
      <w:bookmarkEnd w:id="355"/>
      <w:bookmarkEnd w:id="356"/>
      <w:bookmarkEnd w:id="357"/>
      <w:bookmarkEnd w:id="358"/>
      <w:bookmarkEnd w:id="359"/>
      <w:bookmarkEnd w:id="36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default"/>
          <w:b w:val="0"/>
          <w:bCs w:val="0"/>
          <w:highlight w:val="none"/>
        </w:rPr>
        <w:t xml:space="preserve">  </w:t>
      </w:r>
      <w:r>
        <w:rPr>
          <w:rFonts w:hint="eastAsia" w:ascii="Times New Roman" w:hAnsi="Times New Roman" w:eastAsia="宋体" w:cs="Times New Roman"/>
          <w:szCs w:val="21"/>
          <w:highlight w:val="none"/>
        </w:rPr>
        <w:t>预应力构件生产应编制专项施工方案，并应符合现行国家标准《混凝土结构工程施工规范》GB 50666的有关规定。</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default"/>
          <w:b w:val="0"/>
          <w:bCs w:val="0"/>
          <w:highlight w:val="none"/>
        </w:rPr>
        <w:t xml:space="preserve">  </w:t>
      </w:r>
      <w:r>
        <w:rPr>
          <w:rFonts w:hint="eastAsia" w:ascii="Times New Roman" w:hAnsi="Times New Roman" w:eastAsia="宋体" w:cs="Times New Roman"/>
          <w:szCs w:val="21"/>
          <w:highlight w:val="none"/>
        </w:rPr>
        <w:t>预应力张拉台座应进行专项施工设计，并应具有足够的承载力、刚度及稳定性，应能满足各阶段施工荷载和施工工艺的要求。</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default"/>
          <w:b w:val="0"/>
          <w:bCs w:val="0"/>
          <w:highlight w:val="none"/>
        </w:rPr>
        <w:t xml:space="preserve">  </w:t>
      </w:r>
      <w:r>
        <w:rPr>
          <w:rFonts w:hint="eastAsia" w:ascii="Times New Roman" w:hAnsi="Times New Roman" w:eastAsia="宋体" w:cs="Times New Roman"/>
          <w:szCs w:val="21"/>
          <w:highlight w:val="none"/>
        </w:rPr>
        <w:t>预应力筋下料与连接应符合下列规定：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预应力筋的下料长度应根据构件的长度、台座的长度、锚夹具长度等经过计算确定；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预应力筋宜使用砂轮锯或机械切断机切断，不应采用电弧或气焊切断。</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default"/>
          <w:b w:val="0"/>
          <w:bCs w:val="0"/>
          <w:highlight w:val="none"/>
        </w:rPr>
        <w:t xml:space="preserve">  </w:t>
      </w:r>
      <w:r>
        <w:rPr>
          <w:rFonts w:hint="eastAsia" w:ascii="Times New Roman" w:hAnsi="Times New Roman" w:eastAsia="宋体" w:cs="Times New Roman"/>
          <w:szCs w:val="21"/>
          <w:highlight w:val="none"/>
        </w:rPr>
        <w:t>预应力筋的定位与安装应符合下列规定：</w:t>
      </w:r>
    </w:p>
    <w:p>
      <w:pPr>
        <w:spacing w:line="240" w:lineRule="auto"/>
        <w:ind w:firstLine="440" w:firstLineChars="200"/>
        <w:rPr>
          <w:rFonts w:hint="eastAsia" w:ascii="Times New Roman" w:hAnsi="Times New Roman" w:eastAsia="宋体" w:cs="Times New Roman"/>
          <w:szCs w:val="21"/>
          <w:highlight w:val="none"/>
        </w:rPr>
      </w:pPr>
      <w:bookmarkStart w:id="361" w:name="_Toc1517"/>
      <w:bookmarkStart w:id="362" w:name="_Toc6571"/>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预应力筋的安装、定位和保护层厚度应符合设计要求；</w:t>
      </w:r>
      <w:bookmarkEnd w:id="361"/>
      <w:bookmarkEnd w:id="362"/>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模外张拉工艺的预应力筋保护层厚度可用梳筋条槽口深度或端头垫板厚度控制；</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预应力筋连同隔离套管应在钢筋骨架完成后一并穿入就位。就位后，严禁使用电弧焊对钢筋及模板进行切割或焊接。隔离套管内端应堵严。</w:t>
      </w:r>
    </w:p>
    <w:p>
      <w:pPr>
        <w:spacing w:line="240" w:lineRule="auto"/>
        <w:outlineLvl w:val="9"/>
        <w:rPr>
          <w:rFonts w:hint="eastAsia" w:ascii="Times New Roman" w:hAnsi="Times New Roman" w:eastAsia="宋体" w:cs="Times New Roman"/>
          <w:szCs w:val="21"/>
          <w:highlight w:val="none"/>
        </w:rPr>
      </w:pPr>
      <w:bookmarkStart w:id="363" w:name="_Toc26636"/>
      <w:bookmarkStart w:id="364" w:name="_Toc17729"/>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default"/>
          <w:b w:val="0"/>
          <w:bCs w:val="0"/>
          <w:highlight w:val="none"/>
        </w:rPr>
        <w:t xml:space="preserve">  </w:t>
      </w:r>
      <w:r>
        <w:rPr>
          <w:rFonts w:hint="eastAsia" w:ascii="Times New Roman" w:hAnsi="Times New Roman" w:eastAsia="宋体" w:cs="Times New Roman"/>
          <w:szCs w:val="21"/>
          <w:highlight w:val="none"/>
        </w:rPr>
        <w:t>钢丝</w:t>
      </w:r>
      <w:bookmarkStart w:id="365" w:name="OLE_LINK1"/>
      <w:bookmarkStart w:id="366" w:name="OLE_LINK2"/>
      <w:r>
        <w:rPr>
          <w:rFonts w:hint="eastAsia" w:ascii="Times New Roman" w:hAnsi="Times New Roman" w:eastAsia="宋体" w:cs="Times New Roman"/>
          <w:szCs w:val="21"/>
          <w:highlight w:val="none"/>
        </w:rPr>
        <w:t>镦</w:t>
      </w:r>
      <w:bookmarkEnd w:id="365"/>
      <w:bookmarkEnd w:id="366"/>
      <w:r>
        <w:rPr>
          <w:rFonts w:hint="eastAsia" w:ascii="Times New Roman" w:hAnsi="Times New Roman" w:eastAsia="宋体" w:cs="Times New Roman"/>
          <w:szCs w:val="21"/>
          <w:highlight w:val="none"/>
        </w:rPr>
        <w:t>头及下料长度偏差应符合下列规定：</w:t>
      </w:r>
      <w:bookmarkEnd w:id="363"/>
      <w:bookmarkEnd w:id="364"/>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镦头的头型直径不宜小于钢丝直径的1.5倍，高度不宜小于钢丝直径；</w:t>
      </w:r>
    </w:p>
    <w:p>
      <w:pPr>
        <w:spacing w:line="240" w:lineRule="auto"/>
        <w:ind w:firstLine="440" w:firstLineChars="200"/>
        <w:rPr>
          <w:rFonts w:hint="eastAsia" w:ascii="Times New Roman" w:hAnsi="Times New Roman" w:eastAsia="宋体" w:cs="Times New Roman"/>
          <w:szCs w:val="21"/>
          <w:highlight w:val="none"/>
        </w:rPr>
      </w:pPr>
      <w:bookmarkStart w:id="367" w:name="_Toc20940"/>
      <w:bookmarkStart w:id="368" w:name="_Toc13994"/>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镦头不应出现横向裂纹；</w:t>
      </w:r>
      <w:bookmarkEnd w:id="367"/>
      <w:bookmarkEnd w:id="368"/>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当钢丝束两端均采用镦头锚具时，同一束中各根钢丝长度的极差不应大于钢丝长度的1/5000，且不应大于5mm。当成组张拉长度不大于10m的钢丝时，同组钢丝长度的极差不应大于2mm。</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default"/>
          <w:b w:val="0"/>
          <w:bCs w:val="0"/>
          <w:highlight w:val="none"/>
        </w:rPr>
        <w:t xml:space="preserve">  </w:t>
      </w:r>
      <w:r>
        <w:rPr>
          <w:rFonts w:hint="eastAsia" w:ascii="Times New Roman" w:hAnsi="Times New Roman" w:eastAsia="宋体" w:cs="Times New Roman"/>
          <w:szCs w:val="21"/>
          <w:highlight w:val="none"/>
        </w:rPr>
        <w:t>预应力筋的张拉控制应力应符合设计及专项方案的要求。当需要超张拉时，调整后的张拉控制应力</w:t>
      </w:r>
      <w:r>
        <w:rPr>
          <w:rFonts w:eastAsiaTheme="minorEastAsia"/>
          <w:szCs w:val="21"/>
          <w:highlight w:val="none"/>
        </w:rPr>
        <w:t>σ</w:t>
      </w:r>
      <w:r>
        <w:rPr>
          <w:rFonts w:eastAsiaTheme="minorEastAsia"/>
          <w:szCs w:val="21"/>
          <w:highlight w:val="none"/>
          <w:vertAlign w:val="subscript"/>
        </w:rPr>
        <w:t>con</w:t>
      </w:r>
      <w:r>
        <w:rPr>
          <w:rFonts w:hint="eastAsia" w:ascii="Times New Roman" w:hAnsi="Times New Roman" w:eastAsia="宋体" w:cs="Times New Roman"/>
          <w:szCs w:val="21"/>
          <w:highlight w:val="none"/>
        </w:rPr>
        <w:t>应符合下列规定：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 xml:space="preserve">消除应力钢丝、钢绞线  </w:t>
      </w:r>
      <w:r>
        <w:rPr>
          <w:rFonts w:eastAsiaTheme="minorEastAsia"/>
          <w:szCs w:val="21"/>
          <w:highlight w:val="none"/>
        </w:rPr>
        <w:t>σ</w:t>
      </w:r>
      <w:r>
        <w:rPr>
          <w:rFonts w:eastAsiaTheme="minorEastAsia"/>
          <w:szCs w:val="21"/>
          <w:highlight w:val="none"/>
          <w:vertAlign w:val="subscript"/>
        </w:rPr>
        <w:t>con</w:t>
      </w:r>
      <w:r>
        <w:rPr>
          <w:rFonts w:eastAsiaTheme="minorEastAsia"/>
          <w:szCs w:val="21"/>
          <w:highlight w:val="none"/>
        </w:rPr>
        <w:t>≤0.80ƒ</w:t>
      </w:r>
      <w:r>
        <w:rPr>
          <w:rFonts w:eastAsiaTheme="minorEastAsia"/>
          <w:szCs w:val="21"/>
          <w:highlight w:val="none"/>
          <w:vertAlign w:val="subscript"/>
        </w:rPr>
        <w:t>ptk</w:t>
      </w:r>
    </w:p>
    <w:p>
      <w:pPr>
        <w:spacing w:line="240" w:lineRule="auto"/>
        <w:ind w:firstLine="440" w:firstLineChars="200"/>
        <w:rPr>
          <w:rFonts w:eastAsiaTheme="minorEastAsia"/>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 xml:space="preserve">中强度预应力钢丝      </w:t>
      </w:r>
      <w:r>
        <w:rPr>
          <w:rFonts w:eastAsiaTheme="minorEastAsia"/>
          <w:szCs w:val="21"/>
          <w:highlight w:val="none"/>
        </w:rPr>
        <w:t>σ</w:t>
      </w:r>
      <w:r>
        <w:rPr>
          <w:rFonts w:eastAsiaTheme="minorEastAsia"/>
          <w:szCs w:val="21"/>
          <w:highlight w:val="none"/>
          <w:vertAlign w:val="subscript"/>
        </w:rPr>
        <w:t>con</w:t>
      </w:r>
      <w:r>
        <w:rPr>
          <w:rFonts w:eastAsiaTheme="minorEastAsia"/>
          <w:szCs w:val="21"/>
          <w:highlight w:val="none"/>
        </w:rPr>
        <w:t>≤0.75ƒ</w:t>
      </w:r>
      <w:r>
        <w:rPr>
          <w:rFonts w:eastAsiaTheme="minorEastAsia"/>
          <w:szCs w:val="21"/>
          <w:highlight w:val="none"/>
          <w:vertAlign w:val="subscript"/>
        </w:rPr>
        <w:t>ptk</w:t>
      </w:r>
    </w:p>
    <w:p>
      <w:pPr>
        <w:spacing w:line="240" w:lineRule="auto"/>
        <w:ind w:firstLine="440" w:firstLineChars="200"/>
        <w:rPr>
          <w:rFonts w:eastAsiaTheme="minorEastAsia"/>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 xml:space="preserve">预应力螺纹钢筋        </w:t>
      </w:r>
      <w:r>
        <w:rPr>
          <w:rFonts w:eastAsiaTheme="minorEastAsia"/>
          <w:szCs w:val="21"/>
          <w:highlight w:val="none"/>
        </w:rPr>
        <w:t>σ</w:t>
      </w:r>
      <w:r>
        <w:rPr>
          <w:rFonts w:eastAsiaTheme="minorEastAsia"/>
          <w:szCs w:val="21"/>
          <w:highlight w:val="none"/>
          <w:vertAlign w:val="subscript"/>
        </w:rPr>
        <w:t>con</w:t>
      </w:r>
      <w:r>
        <w:rPr>
          <w:rFonts w:eastAsiaTheme="minorEastAsia"/>
          <w:szCs w:val="21"/>
          <w:highlight w:val="none"/>
        </w:rPr>
        <w:t>≤0.90ƒ</w:t>
      </w:r>
      <w:r>
        <w:rPr>
          <w:rFonts w:eastAsiaTheme="minorEastAsia"/>
          <w:szCs w:val="21"/>
          <w:highlight w:val="none"/>
          <w:vertAlign w:val="subscript"/>
        </w:rPr>
        <w:t>pyk</w:t>
      </w:r>
    </w:p>
    <w:p>
      <w:pPr>
        <w:spacing w:line="240" w:lineRule="auto"/>
        <w:ind w:firstLine="422"/>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式中：</w:t>
      </w:r>
      <w:r>
        <w:rPr>
          <w:rFonts w:eastAsiaTheme="minorEastAsia"/>
          <w:szCs w:val="21"/>
          <w:highlight w:val="none"/>
        </w:rPr>
        <w:t>σ</w:t>
      </w:r>
      <w:r>
        <w:rPr>
          <w:rFonts w:eastAsiaTheme="minorEastAsia"/>
          <w:szCs w:val="21"/>
          <w:highlight w:val="none"/>
          <w:vertAlign w:val="subscript"/>
        </w:rPr>
        <w:t>con</w:t>
      </w:r>
      <w:r>
        <w:rPr>
          <w:rFonts w:hint="eastAsia" w:eastAsiaTheme="minorEastAsia"/>
          <w:szCs w:val="21"/>
          <w:highlight w:val="none"/>
          <w:vertAlign w:val="subscript"/>
          <w:lang w:val="en-US" w:eastAsia="zh-CN"/>
        </w:rPr>
        <w:t xml:space="preserve">  </w:t>
      </w:r>
      <w:r>
        <w:rPr>
          <w:rFonts w:hint="eastAsia" w:ascii="Times New Roman" w:hAnsi="Times New Roman" w:eastAsia="宋体" w:cs="Times New Roman"/>
          <w:szCs w:val="21"/>
          <w:highlight w:val="none"/>
        </w:rPr>
        <w:t>—预应力筋张拉控制应力；</w:t>
      </w:r>
    </w:p>
    <w:p>
      <w:pPr>
        <w:spacing w:line="240" w:lineRule="auto"/>
        <w:ind w:firstLine="1100" w:firstLineChars="500"/>
        <w:rPr>
          <w:rFonts w:hint="eastAsia" w:ascii="Times New Roman" w:hAnsi="Times New Roman" w:eastAsia="宋体" w:cs="Times New Roman"/>
          <w:szCs w:val="21"/>
          <w:highlight w:val="none"/>
        </w:rPr>
      </w:pPr>
      <w:r>
        <w:rPr>
          <w:rFonts w:eastAsiaTheme="minorEastAsia"/>
          <w:szCs w:val="21"/>
          <w:highlight w:val="none"/>
        </w:rPr>
        <w:t>ƒ</w:t>
      </w:r>
      <w:r>
        <w:rPr>
          <w:rFonts w:eastAsiaTheme="minorEastAsia"/>
          <w:szCs w:val="21"/>
          <w:highlight w:val="none"/>
          <w:vertAlign w:val="subscript"/>
        </w:rPr>
        <w:t xml:space="preserve">ptk  </w:t>
      </w:r>
      <w:r>
        <w:rPr>
          <w:rFonts w:hint="eastAsia" w:ascii="Times New Roman" w:hAnsi="Times New Roman" w:eastAsia="宋体" w:cs="Times New Roman"/>
          <w:szCs w:val="21"/>
          <w:highlight w:val="none"/>
        </w:rPr>
        <w:t>—预应力筋极限强度标准值；</w:t>
      </w:r>
    </w:p>
    <w:p>
      <w:pPr>
        <w:spacing w:line="240" w:lineRule="auto"/>
        <w:ind w:firstLine="1100" w:firstLineChars="500"/>
        <w:rPr>
          <w:rFonts w:hint="eastAsia" w:ascii="Times New Roman" w:hAnsi="Times New Roman" w:eastAsia="宋体" w:cs="Times New Roman"/>
          <w:szCs w:val="21"/>
          <w:highlight w:val="none"/>
        </w:rPr>
      </w:pPr>
      <w:r>
        <w:rPr>
          <w:rFonts w:eastAsiaTheme="minorEastAsia"/>
          <w:szCs w:val="21"/>
          <w:highlight w:val="none"/>
        </w:rPr>
        <w:t>ƒ</w:t>
      </w:r>
      <w:r>
        <w:rPr>
          <w:rFonts w:eastAsiaTheme="minorEastAsia"/>
          <w:szCs w:val="21"/>
          <w:highlight w:val="none"/>
          <w:vertAlign w:val="subscript"/>
        </w:rPr>
        <w:t xml:space="preserve">pyk  </w:t>
      </w:r>
      <w:r>
        <w:rPr>
          <w:rFonts w:hint="eastAsia" w:ascii="Times New Roman" w:hAnsi="Times New Roman" w:eastAsia="宋体" w:cs="Times New Roman"/>
          <w:szCs w:val="21"/>
          <w:highlight w:val="none"/>
        </w:rPr>
        <w:t>—预应力筋屈服强度标准值。</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default"/>
          <w:b w:val="0"/>
          <w:bCs w:val="0"/>
          <w:highlight w:val="none"/>
        </w:rPr>
        <w:t xml:space="preserve">  </w:t>
      </w:r>
      <w:r>
        <w:rPr>
          <w:rFonts w:hint="eastAsia" w:ascii="Times New Roman" w:hAnsi="Times New Roman" w:eastAsia="宋体" w:cs="Times New Roman"/>
          <w:szCs w:val="21"/>
          <w:highlight w:val="none"/>
        </w:rPr>
        <w:t>采用应力控制方法张拉时，应校核最大张拉力下预应力筋伸长值。实测伸长值与计算伸长值的偏差应控制在±6%之内，否则应查明原因并采取措施后再张拉。</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default"/>
          <w:b w:val="0"/>
          <w:bCs w:val="0"/>
          <w:highlight w:val="none"/>
        </w:rPr>
        <w:t xml:space="preserve">  </w:t>
      </w:r>
      <w:r>
        <w:rPr>
          <w:rFonts w:hint="eastAsia" w:ascii="Times New Roman" w:hAnsi="Times New Roman" w:eastAsia="宋体" w:cs="Times New Roman"/>
          <w:szCs w:val="21"/>
          <w:highlight w:val="none"/>
        </w:rPr>
        <w:t>预应力筋的张拉应符合设计要求，并应符合下列规定：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应根据预制混凝土构件受力特点、施工方便及操作安全等因素确定张拉顺序；</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宜采用多根预应力筋整体张拉；单根张拉时应采取对称和分级方式，按照校准的张拉力控制张拉精度，以预应力筋的伸长值作为校核；</w:t>
      </w:r>
    </w:p>
    <w:p>
      <w:pPr>
        <w:spacing w:line="240" w:lineRule="auto"/>
        <w:ind w:firstLine="440" w:firstLineChars="200"/>
        <w:rPr>
          <w:rFonts w:hint="eastAsia" w:ascii="Times New Roman" w:hAnsi="Times New Roman" w:eastAsia="宋体" w:cs="Times New Roman"/>
          <w:szCs w:val="21"/>
          <w:highlight w:val="none"/>
        </w:rPr>
      </w:pPr>
      <w:bookmarkStart w:id="369" w:name="_Toc24845"/>
      <w:bookmarkStart w:id="370" w:name="_Toc17207"/>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对预制屋架等平卧叠浇构件，应从上而下逐榀张拉；</w:t>
      </w:r>
      <w:bookmarkEnd w:id="369"/>
      <w:bookmarkEnd w:id="370"/>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预应力筋张拉时，应从零拉力加载至初拉力（张拉控制力的10%~15%）后，开始量测伸长值初读数，再以均匀速率加载至张拉控制力；</w:t>
      </w:r>
    </w:p>
    <w:p>
      <w:pPr>
        <w:spacing w:line="240" w:lineRule="auto"/>
        <w:ind w:firstLine="440" w:firstLineChars="200"/>
        <w:rPr>
          <w:rFonts w:hint="eastAsia" w:ascii="Times New Roman" w:hAnsi="Times New Roman" w:eastAsia="宋体" w:cs="Times New Roman"/>
          <w:szCs w:val="21"/>
          <w:highlight w:val="none"/>
        </w:rPr>
      </w:pPr>
      <w:bookmarkStart w:id="371" w:name="_Toc6916"/>
      <w:bookmarkStart w:id="372" w:name="_Toc32670"/>
      <w:r>
        <w:rPr>
          <w:rFonts w:hint="eastAsia" w:ascii="Times New Roman" w:hAnsi="Times New Roman" w:eastAsia="宋体" w:cs="Times New Roman"/>
          <w:b/>
          <w:bCs/>
          <w:szCs w:val="21"/>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张拉过程中应避免预应力筋断裂或滑脱；</w:t>
      </w:r>
      <w:bookmarkEnd w:id="371"/>
      <w:bookmarkEnd w:id="372"/>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6</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预应力筋张拉锚固后，应对实际建立的预应力值与设计给定值的偏差进行控制；应以每工作班为一批，抽查预应力筋总数的1%，且不少于3根。</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default"/>
          <w:b w:val="0"/>
          <w:bCs w:val="0"/>
          <w:highlight w:val="none"/>
        </w:rPr>
        <w:t xml:space="preserve">  </w:t>
      </w:r>
      <w:r>
        <w:rPr>
          <w:rFonts w:hint="eastAsia" w:ascii="Times New Roman" w:hAnsi="Times New Roman" w:eastAsia="宋体" w:cs="Times New Roman"/>
          <w:szCs w:val="21"/>
          <w:highlight w:val="none"/>
        </w:rPr>
        <w:t>混凝土浇筑时应尽量减少混凝土收缩和徐变，振动器不应碰撞预应力筋。当预应力混凝土构件进行湿热养护时，应采取正确的养护制度以减少由于温差引起的应力损失。</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default"/>
          <w:b w:val="0"/>
          <w:bCs w:val="0"/>
          <w:highlight w:val="none"/>
        </w:rPr>
        <w:t xml:space="preserve">  </w:t>
      </w:r>
      <w:r>
        <w:rPr>
          <w:rFonts w:hint="eastAsia" w:ascii="Times New Roman" w:hAnsi="Times New Roman" w:eastAsia="宋体" w:cs="Times New Roman"/>
          <w:szCs w:val="21"/>
          <w:highlight w:val="none"/>
        </w:rPr>
        <w:t>预应力筋放张应符合设计要求，并应符合下列规定：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预应力筋放张时，混凝土强度应符合设计要求，且同条件养护的混凝土立方体抗压强度应不低于设计混凝土强度等级值的75%；采用消除应力钢丝或钢绞线作为预应力筋的先张法构件，不应低于30MPa；</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放张前，应将限制构件变形的模具拆除；</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宜采取缓慢放张工艺进行整体放张；</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对受弯或偏心受压的预应力构件，应先同时放张预压应力较小区域的预应力筋，再同时放张预压应力较大区域的预应力筋；</w:t>
      </w:r>
    </w:p>
    <w:p>
      <w:pPr>
        <w:spacing w:line="240" w:lineRule="auto"/>
        <w:ind w:firstLine="440" w:firstLineChars="200"/>
        <w:rPr>
          <w:rFonts w:hint="eastAsia" w:ascii="Times New Roman" w:hAnsi="Times New Roman" w:eastAsia="宋体" w:cs="Times New Roman"/>
          <w:szCs w:val="21"/>
          <w:highlight w:val="none"/>
        </w:rPr>
      </w:pPr>
      <w:bookmarkStart w:id="373" w:name="_Toc26995"/>
      <w:bookmarkStart w:id="374" w:name="_Toc31708"/>
      <w:r>
        <w:rPr>
          <w:rFonts w:hint="eastAsia" w:ascii="Times New Roman" w:hAnsi="Times New Roman" w:eastAsia="宋体" w:cs="Times New Roman"/>
          <w:b/>
          <w:bCs/>
          <w:szCs w:val="21"/>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单根放张时，应分阶段、对称且相互交错放张；</w:t>
      </w:r>
      <w:bookmarkEnd w:id="373"/>
      <w:bookmarkEnd w:id="374"/>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6</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放张后，预应力筋的切断顺序，宜从放张端开始逐次切向另一端。</w:t>
      </w:r>
      <w:bookmarkEnd w:id="348"/>
    </w:p>
    <w:p>
      <w:pPr>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br w:type="page"/>
      </w:r>
    </w:p>
    <w:p>
      <w:pPr>
        <w:keepNext/>
        <w:keepLines/>
        <w:spacing w:before="360" w:after="360" w:line="240" w:lineRule="auto"/>
        <w:jc w:val="center"/>
        <w:outlineLvl w:val="0"/>
        <w:rPr>
          <w:rStyle w:val="23"/>
          <w:rFonts w:hint="eastAsia" w:ascii="宋体" w:hAnsi="宋体" w:eastAsia="宋体" w:cs="宋体"/>
          <w:b w:val="0"/>
          <w:bCs w:val="0"/>
          <w:sz w:val="28"/>
          <w:szCs w:val="28"/>
          <w:highlight w:val="none"/>
          <w:lang w:val="en-US" w:eastAsia="zh-CN"/>
        </w:rPr>
      </w:pPr>
      <w:bookmarkStart w:id="375" w:name="_Toc16202"/>
      <w:bookmarkStart w:id="376" w:name="_Toc10072"/>
      <w:bookmarkStart w:id="377" w:name="_Toc14585"/>
      <w:r>
        <w:rPr>
          <w:rStyle w:val="23"/>
          <w:rFonts w:hint="default" w:ascii="Times New Roman" w:hAnsi="Times New Roman" w:eastAsia="黑体" w:cs="Times New Roman"/>
          <w:b/>
          <w:bCs/>
          <w:sz w:val="28"/>
          <w:szCs w:val="28"/>
          <w:highlight w:val="none"/>
          <w:lang w:val="en-US" w:eastAsia="zh-CN"/>
        </w:rPr>
        <w:t>7</w:t>
      </w:r>
      <w:r>
        <w:rPr>
          <w:rStyle w:val="23"/>
          <w:rFonts w:hint="eastAsia" w:ascii="宋体" w:hAnsi="宋体" w:eastAsia="宋体"/>
          <w:b w:val="0"/>
          <w:bCs w:val="0"/>
          <w:sz w:val="28"/>
          <w:szCs w:val="28"/>
          <w:highlight w:val="none"/>
          <w:lang w:val="en-US" w:eastAsia="zh-CN"/>
        </w:rPr>
        <w:t xml:space="preserve"> </w:t>
      </w:r>
      <w:r>
        <w:rPr>
          <w:rStyle w:val="23"/>
          <w:rFonts w:hint="eastAsia" w:ascii="宋体" w:hAnsi="宋体" w:eastAsia="宋体" w:cs="宋体"/>
          <w:b w:val="0"/>
          <w:bCs w:val="0"/>
          <w:sz w:val="28"/>
          <w:szCs w:val="28"/>
          <w:highlight w:val="none"/>
          <w:lang w:val="en-US" w:eastAsia="zh-CN"/>
        </w:rPr>
        <w:t xml:space="preserve"> 运    输</w:t>
      </w:r>
      <w:bookmarkEnd w:id="375"/>
      <w:bookmarkEnd w:id="376"/>
      <w:bookmarkEnd w:id="377"/>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default" w:ascii="黑体" w:hAnsi="黑体" w:cs="宋体" w:eastAsiaTheme="minorEastAsia"/>
          <w:b w:val="0"/>
          <w:bCs w:val="0"/>
          <w:sz w:val="21"/>
          <w:szCs w:val="21"/>
          <w:highlight w:val="none"/>
          <w:lang w:val="en-US" w:eastAsia="zh-CN"/>
        </w:rPr>
      </w:pPr>
      <w:bookmarkStart w:id="378" w:name="_Toc6127"/>
      <w:bookmarkStart w:id="379" w:name="_Toc6263"/>
      <w:bookmarkStart w:id="380" w:name="_Toc18813"/>
      <w:r>
        <w:rPr>
          <w:rFonts w:hint="eastAsia" w:ascii="Times New Roman" w:hAnsi="Times New Roman" w:eastAsia="黑体" w:cs="Times New Roman"/>
          <w:b/>
          <w:bCs w:val="0"/>
          <w:sz w:val="21"/>
          <w:szCs w:val="21"/>
          <w:highlight w:val="none"/>
          <w:lang w:val="en-US" w:eastAsia="zh-CN"/>
        </w:rPr>
        <w:t>7</w:t>
      </w:r>
      <w:r>
        <w:rPr>
          <w:rFonts w:hint="eastAsia" w:ascii="宋体" w:hAnsi="宋体" w:eastAsia="宋体" w:cs="宋体"/>
          <w:b/>
          <w:bCs w:val="0"/>
          <w:sz w:val="21"/>
          <w:szCs w:val="21"/>
          <w:highlight w:val="none"/>
          <w:lang w:val="en-US" w:eastAsia="zh-CN"/>
        </w:rPr>
        <w:t>.</w:t>
      </w:r>
      <w:r>
        <w:rPr>
          <w:rFonts w:hint="eastAsia" w:ascii="Times New Roman" w:hAnsi="Times New Roman" w:eastAsia="黑体" w:cs="Times New Roman"/>
          <w:b/>
          <w:bCs w:val="0"/>
          <w:sz w:val="21"/>
          <w:szCs w:val="21"/>
          <w:highlight w:val="none"/>
          <w:lang w:val="en-US" w:eastAsia="zh-CN"/>
        </w:rPr>
        <w:t>1</w:t>
      </w:r>
      <w:r>
        <w:rPr>
          <w:rFonts w:hint="eastAsia" w:ascii="黑体" w:hAnsi="黑体"/>
          <w:b w:val="0"/>
          <w:sz w:val="21"/>
          <w:szCs w:val="21"/>
          <w:highlight w:val="none"/>
        </w:rPr>
        <w:t xml:space="preserve">  </w:t>
      </w:r>
      <w:r>
        <w:rPr>
          <w:rFonts w:hint="eastAsia" w:ascii="黑体" w:hAnsi="黑体" w:eastAsia="黑体"/>
          <w:b w:val="0"/>
          <w:sz w:val="21"/>
          <w:szCs w:val="21"/>
          <w:highlight w:val="none"/>
          <w:lang w:val="en-US" w:eastAsia="zh-CN"/>
        </w:rPr>
        <w:t xml:space="preserve">一 </w:t>
      </w:r>
      <w:r>
        <w:rPr>
          <w:rFonts w:hint="eastAsia" w:ascii="黑体" w:hAnsi="黑体" w:eastAsia="黑体" w:cs="黑体"/>
          <w:b w:val="0"/>
          <w:bCs/>
          <w:kern w:val="2"/>
          <w:sz w:val="21"/>
          <w:szCs w:val="21"/>
          <w:highlight w:val="none"/>
          <w:lang w:val="en-US" w:eastAsia="zh-CN" w:bidi="ar-SA"/>
        </w:rPr>
        <w:t>般 规</w:t>
      </w:r>
      <w:r>
        <w:rPr>
          <w:rFonts w:hint="eastAsia" w:ascii="黑体" w:hAnsi="黑体" w:eastAsia="黑体"/>
          <w:b w:val="0"/>
          <w:sz w:val="21"/>
          <w:szCs w:val="21"/>
          <w:highlight w:val="none"/>
          <w:lang w:val="en-US" w:eastAsia="zh-CN"/>
        </w:rPr>
        <w:t xml:space="preserve"> 定</w:t>
      </w:r>
      <w:bookmarkEnd w:id="378"/>
      <w:bookmarkEnd w:id="379"/>
      <w:bookmarkEnd w:id="380"/>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预制混凝土构件的运输，应符合现行国家标准《中华人民共和国道路交通安全法实施条例》、《超限运输车辆行驶公路管理规定》等有关规定。</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运输超高、超宽的预制混凝土构件时，应按公路管理《超限运输车辆行驶公路管理规定》中规定，超限运输车辆须提前向公路管理机构申请批准《超限运输车辆通行证》。</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预制混凝土构件起吊运输前应确定混凝土强度等级要求：</w:t>
      </w:r>
    </w:p>
    <w:p>
      <w:pPr>
        <w:spacing w:line="240" w:lineRule="auto"/>
        <w:ind w:firstLine="440" w:firstLineChars="200"/>
        <w:rPr>
          <w:rFonts w:hint="eastAsia" w:ascii="Times New Roman" w:hAnsi="Times New Roman" w:eastAsia="宋体" w:cs="Times New Roman"/>
          <w:szCs w:val="21"/>
          <w:highlight w:val="none"/>
        </w:rPr>
      </w:pPr>
      <w:bookmarkStart w:id="381" w:name="_Toc30111"/>
      <w:bookmarkStart w:id="382" w:name="_Toc753"/>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脱模起吊，混凝土强度不低于15MPa；</w:t>
      </w:r>
      <w:bookmarkEnd w:id="381"/>
      <w:bookmarkEnd w:id="382"/>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设计无明确要求时，预制混凝土构件强度不低于设计强度等级的75%。</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Times New Roman" w:hAnsi="Times New Roman" w:eastAsia="宋体" w:cs="Times New Roman"/>
          <w:szCs w:val="21"/>
          <w:highlight w:val="none"/>
        </w:rPr>
        <w:t xml:space="preserve">  预制混凝土构件堆场应作硬化处理，满足预制混凝土构件堆放荷载和机械行驶、停放要求；装卸场地应满足机械停置、操作作业面等要求。</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Times New Roman" w:hAnsi="Times New Roman" w:eastAsia="宋体" w:cs="Times New Roman"/>
          <w:szCs w:val="21"/>
          <w:highlight w:val="none"/>
        </w:rPr>
        <w:t xml:space="preserve">  预制混凝土构件装车卸车前后，该区域应拉安全警戒线，严禁吊装无关人员进出。</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383" w:name="_Toc3975"/>
      <w:bookmarkStart w:id="384" w:name="_Toc154586194"/>
      <w:bookmarkStart w:id="385" w:name="_Toc153205500"/>
      <w:bookmarkStart w:id="386" w:name="_Toc6343"/>
      <w:bookmarkStart w:id="387" w:name="_Toc32040"/>
      <w:r>
        <w:rPr>
          <w:rFonts w:hint="eastAsia" w:ascii="Times New Roman" w:hAnsi="Times New Roman" w:eastAsia="黑体" w:cs="Times New Roman"/>
          <w:b/>
          <w:bCs w:val="0"/>
          <w:sz w:val="21"/>
          <w:szCs w:val="21"/>
          <w:highlight w:val="none"/>
          <w:lang w:val="en-US" w:eastAsia="zh-CN"/>
        </w:rPr>
        <w:t>7</w:t>
      </w:r>
      <w:r>
        <w:rPr>
          <w:rFonts w:hint="eastAsia" w:ascii="宋体" w:hAnsi="宋体" w:eastAsia="宋体" w:cs="宋体"/>
          <w:b/>
          <w:bCs w:val="0"/>
          <w:sz w:val="21"/>
          <w:szCs w:val="21"/>
          <w:highlight w:val="none"/>
          <w:lang w:val="en-US" w:eastAsia="zh-CN"/>
        </w:rPr>
        <w:t>.</w:t>
      </w:r>
      <w:r>
        <w:rPr>
          <w:rFonts w:hint="eastAsia" w:ascii="Times New Roman" w:hAnsi="Times New Roman" w:eastAsia="黑体" w:cs="Times New Roman"/>
          <w:b/>
          <w:bCs w:val="0"/>
          <w:sz w:val="21"/>
          <w:szCs w:val="21"/>
          <w:highlight w:val="none"/>
          <w:lang w:val="en-US" w:eastAsia="zh-CN"/>
        </w:rPr>
        <w:t>2</w:t>
      </w:r>
      <w:r>
        <w:rPr>
          <w:rFonts w:hint="eastAsia" w:ascii="黑体" w:hAnsi="黑体" w:eastAsia="黑体"/>
          <w:b w:val="0"/>
          <w:sz w:val="21"/>
          <w:szCs w:val="21"/>
          <w:highlight w:val="none"/>
          <w:lang w:val="en-US" w:eastAsia="zh-CN"/>
        </w:rPr>
        <w:t xml:space="preserve">  运 输 准 备</w:t>
      </w:r>
      <w:bookmarkEnd w:id="383"/>
      <w:bookmarkEnd w:id="384"/>
      <w:bookmarkEnd w:id="385"/>
      <w:bookmarkEnd w:id="386"/>
      <w:bookmarkEnd w:id="387"/>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预制混凝土构件装车运输前，构件生产单位协同施工单位制定预制混凝土构件的装卸运输方案，方案包含：预制混凝土构件的结构特点及重量、预制混凝土构件装卸索引图、选定装卸机械及运输车辆、确定吊具规格、搁置方式及现场卸货区域、吊装顺序等，装卸运输方案由双方确认。</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定期进行安全培训，将运输产品危险特点、行业主要事故特点、构件运输安全意识、道路交通安全法和相关条例提出的规则、典型事故案例分析等内容。</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预制混凝土构件装车方案应包含</w:t>
      </w:r>
      <w:r>
        <w:rPr>
          <w:rFonts w:hint="eastAsia" w:cs="Times New Roman"/>
          <w:szCs w:val="21"/>
          <w:highlight w:val="none"/>
          <w:lang w:val="en-US" w:eastAsia="zh-CN"/>
        </w:rPr>
        <w:t>以下内容</w:t>
      </w:r>
      <w:r>
        <w:rPr>
          <w:rFonts w:hint="eastAsia" w:ascii="Times New Roman" w:hAnsi="Times New Roman" w:eastAsia="宋体" w:cs="Times New Roman"/>
          <w:szCs w:val="21"/>
          <w:highlight w:val="none"/>
        </w:rPr>
        <w:t>：</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装车计划表、排板图：确定每层预制混凝土构件的装车顺序、装车数量以及运输车次；</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制订安全保护措施，防止预制混凝土构件运输出现位移和倾倒现象；</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预制混凝土构件棱角部位设置保护垫，当帆布、绳索等固定件与预制混凝土构件表面直接接触时应设置柔性并不造成二次污染的隔垫进行隔离保护；</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装饰一体化和保温一体化的预制混凝土构件须设置防污染措施；</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水平预制混凝土构件可叠层水平放置</w:t>
      </w:r>
      <w:r>
        <w:rPr>
          <w:rFonts w:hint="eastAsia" w:cs="Times New Roman"/>
          <w:szCs w:val="21"/>
          <w:highlight w:val="none"/>
          <w:lang w:eastAsia="zh-CN"/>
        </w:rPr>
        <w:t>，</w:t>
      </w:r>
      <w:r>
        <w:rPr>
          <w:rFonts w:hint="eastAsia" w:ascii="Times New Roman" w:hAnsi="Times New Roman" w:eastAsia="宋体" w:cs="Times New Roman"/>
          <w:szCs w:val="21"/>
          <w:highlight w:val="none"/>
        </w:rPr>
        <w:t>竖向预制混凝土构件结合运输架进行靠放或插放形式；</w:t>
      </w:r>
    </w:p>
    <w:p>
      <w:pPr>
        <w:spacing w:line="240" w:lineRule="auto"/>
        <w:ind w:firstLine="440" w:firstLineChars="200"/>
        <w:rPr>
          <w:rFonts w:hint="eastAsia" w:ascii="Times New Roman" w:hAnsi="Times New Roman" w:eastAsia="宋体" w:cs="Times New Roman"/>
          <w:szCs w:val="21"/>
          <w:highlight w:val="none"/>
        </w:rPr>
      </w:pPr>
      <w:bookmarkStart w:id="388" w:name="_Toc15930"/>
      <w:bookmarkStart w:id="389" w:name="_Toc29092"/>
      <w:r>
        <w:rPr>
          <w:rFonts w:hint="eastAsia" w:ascii="Times New Roman" w:hAnsi="Times New Roman" w:eastAsia="宋体" w:cs="Times New Roman"/>
          <w:b/>
          <w:bCs/>
          <w:szCs w:val="21"/>
          <w:highlight w:val="none"/>
        </w:rPr>
        <w:t>6</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明确每件竖向预制混凝土构件吊点所对应</w:t>
      </w:r>
      <w:r>
        <w:rPr>
          <w:rFonts w:hint="eastAsia" w:cs="Times New Roman"/>
          <w:szCs w:val="21"/>
          <w:highlight w:val="none"/>
          <w:lang w:val="en-US" w:eastAsia="zh-CN"/>
        </w:rPr>
        <w:t>的</w:t>
      </w:r>
      <w:r>
        <w:rPr>
          <w:rFonts w:hint="eastAsia" w:ascii="Times New Roman" w:hAnsi="Times New Roman" w:eastAsia="宋体" w:cs="Times New Roman"/>
          <w:szCs w:val="21"/>
          <w:highlight w:val="none"/>
        </w:rPr>
        <w:t>吊梁调节尺位处；</w:t>
      </w:r>
      <w:bookmarkEnd w:id="388"/>
      <w:bookmarkEnd w:id="389"/>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7</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超高、超宽预制混凝土构件运输时须在运输车放置明显的警示灯和警示标志；</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8</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预制混凝土构件出车次序、项目现场进出口、车辆卸车位置或卸车方式；</w:t>
      </w:r>
    </w:p>
    <w:p>
      <w:pPr>
        <w:spacing w:line="240" w:lineRule="auto"/>
        <w:ind w:firstLine="440" w:firstLineChars="200"/>
        <w:rPr>
          <w:rFonts w:hint="eastAsia" w:ascii="Times New Roman" w:hAnsi="Times New Roman" w:eastAsia="宋体" w:cs="Times New Roman"/>
          <w:szCs w:val="21"/>
          <w:highlight w:val="none"/>
        </w:rPr>
      </w:pPr>
      <w:bookmarkStart w:id="390" w:name="_Toc31520"/>
      <w:bookmarkStart w:id="391" w:name="_Toc19294"/>
      <w:r>
        <w:rPr>
          <w:rFonts w:hint="eastAsia" w:ascii="Times New Roman" w:hAnsi="Times New Roman" w:eastAsia="宋体" w:cs="Times New Roman"/>
          <w:b/>
          <w:bCs/>
          <w:szCs w:val="21"/>
          <w:highlight w:val="none"/>
        </w:rPr>
        <w:t>9</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项目现场签收人员。</w:t>
      </w:r>
      <w:bookmarkEnd w:id="390"/>
      <w:bookmarkEnd w:id="391"/>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Times New Roman" w:hAnsi="Times New Roman" w:eastAsia="宋体" w:cs="Times New Roman"/>
          <w:szCs w:val="21"/>
          <w:highlight w:val="none"/>
        </w:rPr>
        <w:t xml:space="preserve">  根据构件特点采用不同的装车运输方式，并符合下列规定：</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竖向构件运输时采用插放架或靠放架运输；水平构件采用托架运输，托架、靠放架、插放架等运输架应进行专门设计，进行强度、稳定性和刚度验算。</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外墙板宜采用立式运输，外饰面层应朝外，梁、板、楼梯、阳台宜采用水平运输；</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采用靠放架立式运输时，构件与地面倾斜角度宜大于80°，构件应对称靠放，每侧不大于2层，构件层间上部采用木垫块隔离；</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采用插放架直立运输时，应采取防止构件倾倒措施，构件之间应设置隔离垫块；</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水平运输时，预制梁、柱构件叠放层数应符合相关规范规定，板类构件叠放层数应根据构件、垫块的承载力确定。</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Times New Roman" w:hAnsi="Times New Roman" w:eastAsia="宋体" w:cs="Times New Roman"/>
          <w:szCs w:val="21"/>
          <w:highlight w:val="none"/>
        </w:rPr>
        <w:t xml:space="preserve">  预制混凝土构件运输架根据装车方案选用。当装车方案中无明确规定时，应结合运输车辆和预制混凝土构件的重量、外形、尺寸等，制定专用运输架并进行强度、稳定性和刚度验算，保证安全可靠。</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Times New Roman" w:hAnsi="Times New Roman" w:eastAsia="宋体" w:cs="Times New Roman"/>
          <w:szCs w:val="21"/>
          <w:highlight w:val="none"/>
        </w:rPr>
        <w:t xml:space="preserve">  预制混凝土构件装车、卸车所需的吊装工具应符合现行规范要求，吊装工具包含：吊具、吊索、专业扣具等。</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7</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2</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6</w:t>
      </w:r>
      <w:r>
        <w:rPr>
          <w:rFonts w:hint="eastAsia" w:ascii="黑体" w:hAnsi="黑体" w:eastAsia="黑体" w:cs="黑体"/>
          <w:sz w:val="18"/>
          <w:szCs w:val="18"/>
          <w:highlight w:val="none"/>
        </w:rPr>
        <w:t xml:space="preserve"> </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常用吊装工具表</w:t>
      </w:r>
    </w:p>
    <w:tbl>
      <w:tblPr>
        <w:tblStyle w:val="31"/>
        <w:tblW w:w="50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253"/>
        <w:gridCol w:w="2814"/>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52" w:hRule="atLeast"/>
          <w:jc w:val="center"/>
        </w:trPr>
        <w:tc>
          <w:tcPr>
            <w:tcW w:w="672" w:type="pct"/>
            <w:tcBorders>
              <w:top w:val="single" w:color="000000" w:sz="12" w:space="0"/>
              <w:left w:val="single" w:color="000000" w:sz="12" w:space="0"/>
            </w:tcBorders>
            <w:vAlign w:val="center"/>
          </w:tcPr>
          <w:p>
            <w:pPr>
              <w:spacing w:line="240" w:lineRule="auto"/>
              <w:jc w:val="center"/>
              <w:rPr>
                <w:rFonts w:hint="eastAsia" w:ascii="Times New Roman" w:hAnsi="Times New Roman" w:eastAsia="宋体" w:cs="Times New Roman"/>
                <w:b w:val="0"/>
                <w:bCs w:val="0"/>
                <w:sz w:val="15"/>
                <w:szCs w:val="15"/>
                <w:highlight w:val="none"/>
              </w:rPr>
            </w:pPr>
            <w:r>
              <w:rPr>
                <w:rFonts w:hint="eastAsia" w:ascii="Times New Roman" w:hAnsi="Times New Roman" w:eastAsia="宋体" w:cs="Times New Roman"/>
                <w:b w:val="0"/>
                <w:bCs w:val="0"/>
                <w:sz w:val="15"/>
                <w:szCs w:val="15"/>
                <w:highlight w:val="none"/>
              </w:rPr>
              <w:t>常用类型</w:t>
            </w:r>
          </w:p>
        </w:tc>
        <w:tc>
          <w:tcPr>
            <w:tcW w:w="1508" w:type="pct"/>
            <w:tcBorders>
              <w:top w:val="single" w:color="000000" w:sz="12" w:space="0"/>
            </w:tcBorders>
            <w:vAlign w:val="center"/>
          </w:tcPr>
          <w:p>
            <w:pPr>
              <w:spacing w:line="240" w:lineRule="auto"/>
              <w:jc w:val="center"/>
              <w:rPr>
                <w:rFonts w:hint="eastAsia" w:ascii="Times New Roman" w:hAnsi="Times New Roman" w:eastAsia="宋体" w:cs="Times New Roman"/>
                <w:b w:val="0"/>
                <w:bCs w:val="0"/>
                <w:sz w:val="15"/>
                <w:szCs w:val="15"/>
                <w:highlight w:val="none"/>
              </w:rPr>
            </w:pPr>
            <w:r>
              <w:rPr>
                <w:rFonts w:hint="eastAsia" w:ascii="Times New Roman" w:hAnsi="Times New Roman" w:eastAsia="宋体" w:cs="Times New Roman"/>
                <w:b w:val="0"/>
                <w:bCs w:val="0"/>
                <w:sz w:val="15"/>
                <w:szCs w:val="15"/>
                <w:highlight w:val="none"/>
              </w:rPr>
              <w:t>用途</w:t>
            </w:r>
          </w:p>
        </w:tc>
        <w:tc>
          <w:tcPr>
            <w:tcW w:w="2819" w:type="pct"/>
            <w:tcBorders>
              <w:top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b w:val="0"/>
                <w:bCs w:val="0"/>
                <w:sz w:val="15"/>
                <w:szCs w:val="15"/>
                <w:highlight w:val="none"/>
              </w:rPr>
            </w:pPr>
            <w:r>
              <w:rPr>
                <w:rFonts w:hint="eastAsia" w:ascii="Times New Roman" w:hAnsi="Times New Roman" w:eastAsia="宋体" w:cs="Times New Roman"/>
                <w:b w:val="0"/>
                <w:bCs w:val="0"/>
                <w:sz w:val="15"/>
                <w:szCs w:val="15"/>
                <w:highlight w:val="none"/>
              </w:rPr>
              <w:t>相关规范要求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7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吊具</w:t>
            </w:r>
          </w:p>
        </w:tc>
        <w:tc>
          <w:tcPr>
            <w:tcW w:w="1508"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吊装预制混凝土构件</w:t>
            </w:r>
          </w:p>
        </w:tc>
        <w:tc>
          <w:tcPr>
            <w:tcW w:w="2819"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GB/T</w:t>
            </w:r>
            <w:r>
              <w:rPr>
                <w:rFonts w:hint="eastAsia" w:cs="Times New Roman"/>
                <w:sz w:val="15"/>
                <w:szCs w:val="15"/>
                <w:highlight w:val="none"/>
                <w:lang w:val="en-US" w:eastAsia="zh-CN"/>
              </w:rPr>
              <w:t xml:space="preserve"> </w:t>
            </w:r>
            <w:r>
              <w:rPr>
                <w:rFonts w:hint="eastAsia" w:ascii="Times New Roman" w:hAnsi="Times New Roman" w:eastAsia="宋体" w:cs="Times New Roman"/>
                <w:sz w:val="15"/>
                <w:szCs w:val="15"/>
                <w:highlight w:val="none"/>
              </w:rPr>
              <w:t>26079-2010-梁式吊具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7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手拉葫芦</w:t>
            </w:r>
          </w:p>
        </w:tc>
        <w:tc>
          <w:tcPr>
            <w:tcW w:w="1508"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控制预制混凝土构件水平平衡度</w:t>
            </w:r>
          </w:p>
        </w:tc>
        <w:tc>
          <w:tcPr>
            <w:tcW w:w="2819"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GB/T</w:t>
            </w:r>
            <w:r>
              <w:rPr>
                <w:rFonts w:hint="eastAsia" w:cs="Times New Roman"/>
                <w:sz w:val="15"/>
                <w:szCs w:val="15"/>
                <w:highlight w:val="none"/>
                <w:lang w:val="en-US" w:eastAsia="zh-CN"/>
              </w:rPr>
              <w:t xml:space="preserve"> </w:t>
            </w:r>
            <w:r>
              <w:rPr>
                <w:rFonts w:hint="eastAsia" w:ascii="Times New Roman" w:hAnsi="Times New Roman" w:eastAsia="宋体" w:cs="Times New Roman"/>
                <w:sz w:val="15"/>
                <w:szCs w:val="15"/>
                <w:highlight w:val="none"/>
              </w:rPr>
              <w:t>20947-2007《起重用短环链-T级(T、DAT和DT型)高精度葫芦链》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7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鸭嘴吊扣</w:t>
            </w:r>
          </w:p>
        </w:tc>
        <w:tc>
          <w:tcPr>
            <w:tcW w:w="1508"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连接吊钉（圆饼型）与吊链</w:t>
            </w:r>
          </w:p>
        </w:tc>
        <w:tc>
          <w:tcPr>
            <w:tcW w:w="2819"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7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蝴蝶扣</w:t>
            </w:r>
          </w:p>
        </w:tc>
        <w:tc>
          <w:tcPr>
            <w:tcW w:w="1508"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连接吊链</w:t>
            </w:r>
          </w:p>
        </w:tc>
        <w:tc>
          <w:tcPr>
            <w:tcW w:w="2819"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7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钢丝绳</w:t>
            </w:r>
          </w:p>
        </w:tc>
        <w:tc>
          <w:tcPr>
            <w:tcW w:w="1508"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连接吊扣/吊环与蝴蝶扣</w:t>
            </w:r>
          </w:p>
        </w:tc>
        <w:tc>
          <w:tcPr>
            <w:tcW w:w="2819"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GB/T 16271-2009</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《钢丝绳吊索、插编索扣》</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GB/T 5972-2016</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《起重机钢丝绳保养、维护、检验和报废》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7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吊链</w:t>
            </w:r>
          </w:p>
        </w:tc>
        <w:tc>
          <w:tcPr>
            <w:tcW w:w="1508"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连接吊扣/吊环与蝴蝶扣</w:t>
            </w:r>
          </w:p>
        </w:tc>
        <w:tc>
          <w:tcPr>
            <w:tcW w:w="2819"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GB/T 20946-2007《起重用短环链验收总则》</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GB/T 24816-2017</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《一般起重用钢制短环链、吊链用8级中等精度链条》</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GB/T 25853-2010《8级非焊接吊链》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7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缆风绳</w:t>
            </w:r>
          </w:p>
        </w:tc>
        <w:tc>
          <w:tcPr>
            <w:tcW w:w="1508"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控制牵引预制混凝土构件安装方向</w:t>
            </w:r>
          </w:p>
        </w:tc>
        <w:tc>
          <w:tcPr>
            <w:tcW w:w="2819"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JBT</w:t>
            </w:r>
            <w:r>
              <w:rPr>
                <w:rFonts w:hint="eastAsia" w:cs="Times New Roman"/>
                <w:sz w:val="15"/>
                <w:szCs w:val="15"/>
                <w:highlight w:val="none"/>
                <w:lang w:val="en-US" w:eastAsia="zh-CN"/>
              </w:rPr>
              <w:t xml:space="preserve"> </w:t>
            </w:r>
            <w:r>
              <w:rPr>
                <w:rFonts w:hint="eastAsia" w:ascii="Times New Roman" w:hAnsi="Times New Roman" w:eastAsia="宋体" w:cs="Times New Roman"/>
                <w:sz w:val="15"/>
                <w:szCs w:val="15"/>
                <w:highlight w:val="none"/>
              </w:rPr>
              <w:t>8521.1-2016《扁平吊装带》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7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安全帆布带</w:t>
            </w:r>
          </w:p>
        </w:tc>
        <w:tc>
          <w:tcPr>
            <w:tcW w:w="1508"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第二道安全防护措施</w:t>
            </w:r>
          </w:p>
        </w:tc>
        <w:tc>
          <w:tcPr>
            <w:tcW w:w="2819"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JBT</w:t>
            </w:r>
            <w:r>
              <w:rPr>
                <w:rFonts w:hint="eastAsia" w:cs="Times New Roman"/>
                <w:sz w:val="15"/>
                <w:szCs w:val="15"/>
                <w:highlight w:val="none"/>
                <w:lang w:val="en-US" w:eastAsia="zh-CN"/>
              </w:rPr>
              <w:t xml:space="preserve"> </w:t>
            </w:r>
            <w:r>
              <w:rPr>
                <w:rFonts w:hint="eastAsia" w:ascii="Times New Roman" w:hAnsi="Times New Roman" w:eastAsia="宋体" w:cs="Times New Roman"/>
                <w:sz w:val="15"/>
                <w:szCs w:val="15"/>
                <w:highlight w:val="none"/>
              </w:rPr>
              <w:t>8521.1-2016《扁平吊装带》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672" w:type="pct"/>
            <w:tcBorders>
              <w:left w:val="single" w:color="000000" w:sz="12" w:space="0"/>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U型卸扣</w:t>
            </w:r>
          </w:p>
        </w:tc>
        <w:tc>
          <w:tcPr>
            <w:tcW w:w="1508" w:type="pct"/>
            <w:tcBorders>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连接蝴蝶扣与吊具</w:t>
            </w:r>
          </w:p>
        </w:tc>
        <w:tc>
          <w:tcPr>
            <w:tcW w:w="2819" w:type="pct"/>
            <w:tcBorders>
              <w:bottom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GB/T 25854-2010</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《一般起重用D形和弓形锻造卸扣》</w:t>
            </w:r>
          </w:p>
        </w:tc>
      </w:tr>
    </w:tbl>
    <w:p>
      <w:pPr>
        <w:spacing w:line="240" w:lineRule="auto"/>
        <w:ind w:firstLine="380" w:firstLineChars="200"/>
        <w:rPr>
          <w:rFonts w:hint="eastAsia" w:ascii="Times New Roman" w:hAnsi="Times New Roman" w:eastAsia="宋体" w:cs="Times New Roman"/>
          <w:sz w:val="18"/>
          <w:szCs w:val="18"/>
          <w:highlight w:val="none"/>
        </w:rPr>
      </w:pPr>
      <w:r>
        <w:rPr>
          <w:rFonts w:hint="eastAsia" w:ascii="Times New Roman" w:hAnsi="Times New Roman" w:eastAsia="宋体" w:cs="Times New Roman"/>
          <w:sz w:val="18"/>
          <w:szCs w:val="18"/>
          <w:highlight w:val="none"/>
        </w:rPr>
        <w:t>注：1.吊装工具应具备生产厂家的质检检测报告、合格证等；</w:t>
      </w:r>
    </w:p>
    <w:p>
      <w:pPr>
        <w:spacing w:line="240" w:lineRule="auto"/>
        <w:ind w:firstLine="760" w:firstLineChars="400"/>
        <w:outlineLvl w:val="9"/>
        <w:rPr>
          <w:rFonts w:hint="eastAsia" w:ascii="Times New Roman" w:hAnsi="Times New Roman" w:eastAsia="宋体" w:cs="Times New Roman"/>
          <w:sz w:val="18"/>
          <w:szCs w:val="18"/>
          <w:highlight w:val="none"/>
        </w:rPr>
      </w:pPr>
      <w:bookmarkStart w:id="392" w:name="_Toc27831"/>
      <w:bookmarkStart w:id="393" w:name="_Toc14562"/>
      <w:r>
        <w:rPr>
          <w:rFonts w:hint="eastAsia" w:ascii="Times New Roman" w:hAnsi="Times New Roman" w:eastAsia="宋体" w:cs="Times New Roman"/>
          <w:sz w:val="18"/>
          <w:szCs w:val="18"/>
          <w:highlight w:val="none"/>
        </w:rPr>
        <w:t>2.吊索吊具应标识最大起重重量范围，避免超负荷起吊。</w:t>
      </w:r>
      <w:bookmarkEnd w:id="392"/>
      <w:bookmarkEnd w:id="393"/>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Times New Roman" w:hAnsi="Times New Roman" w:eastAsia="宋体" w:cs="Times New Roman"/>
          <w:szCs w:val="21"/>
          <w:highlight w:val="none"/>
        </w:rPr>
        <w:t xml:space="preserve">  吊装使用的钢丝绳应为压扣形式，并具备第三方专业检测单位的探伤合格报告书。</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Times New Roman" w:hAnsi="Times New Roman" w:eastAsia="宋体" w:cs="Times New Roman"/>
          <w:szCs w:val="21"/>
          <w:highlight w:val="none"/>
        </w:rPr>
        <w:t xml:space="preserve">  用于运输固定构件的帆布、运输架应具有足够的承载力、刚度及稳定性，能满足不同荷载和运输要求。</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eastAsia" w:ascii="Times New Roman" w:hAnsi="Times New Roman" w:eastAsia="宋体" w:cs="Times New Roman"/>
          <w:szCs w:val="21"/>
          <w:highlight w:val="none"/>
        </w:rPr>
        <w:t xml:space="preserve">  运输预制混凝土构件前对运输路线进行前期规划勘察，确保运输线路的净空、最小转弯半径和道路载荷强度满足要求。</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Times New Roman" w:hAnsi="Times New Roman" w:eastAsia="宋体" w:cs="Times New Roman"/>
          <w:szCs w:val="21"/>
          <w:highlight w:val="none"/>
        </w:rPr>
        <w:t xml:space="preserve">  宜在发运车辆装备全球定位系统的信息跟踪设备，实时反馈配送车辆的位置信息，并</w:t>
      </w:r>
      <w:r>
        <w:rPr>
          <w:rFonts w:hint="eastAsia" w:cs="Times New Roman"/>
          <w:szCs w:val="21"/>
          <w:highlight w:val="none"/>
          <w:lang w:val="en-US" w:eastAsia="zh-CN"/>
        </w:rPr>
        <w:t>传输到</w:t>
      </w:r>
      <w:r>
        <w:rPr>
          <w:rFonts w:hint="eastAsia" w:ascii="Times New Roman" w:hAnsi="Times New Roman" w:eastAsia="宋体" w:cs="Times New Roman"/>
          <w:szCs w:val="21"/>
          <w:highlight w:val="none"/>
        </w:rPr>
        <w:t>订单跟踪系统。</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11</w:t>
      </w:r>
      <w:r>
        <w:rPr>
          <w:rFonts w:hint="eastAsia" w:ascii="Times New Roman" w:hAnsi="Times New Roman" w:eastAsia="宋体" w:cs="Times New Roman"/>
          <w:szCs w:val="21"/>
          <w:highlight w:val="none"/>
        </w:rPr>
        <w:t xml:space="preserve">  运输计划与项目现场实际需求相吻合，项目现场负责人掌握运输动态并搭建实时沟通渠道平台：</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构件生产单位设置专人负责运输、吊装计划等协调工作，及时与项目现场负责人对接，建立信息互通平台，避免人为原因导致运输延误；</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超限运输提前对路线进行考察，根据构件规格、尺寸及时调整运输路线，确保预制混凝土构件顺利运输，按计划运抵项目现场；</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合理安排运输车辆抵达项目现场时间，避开交通高峰及管制时段，抵达项目现场后质检员及时检查构件外观质量、数量；</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施工现场道路弯道的最小半径应满足运输车辆的最小转弯半径要求；</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确定施工现场的进出大门的宽度、高度和道路的宽度、坡度满足大型运输车辆要求；</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 xml:space="preserve">6 </w:t>
      </w:r>
      <w:r>
        <w:rPr>
          <w:rFonts w:hint="eastAsia" w:cs="Times New Roman"/>
          <w:b/>
          <w:bCs/>
          <w:szCs w:val="21"/>
          <w:highlight w:val="none"/>
          <w:lang w:val="en-US" w:eastAsia="zh-CN"/>
        </w:rPr>
        <w:t xml:space="preserve"> </w:t>
      </w:r>
      <w:r>
        <w:rPr>
          <w:rFonts w:hint="eastAsia" w:ascii="Times New Roman" w:hAnsi="Times New Roman" w:eastAsia="宋体" w:cs="Times New Roman"/>
          <w:szCs w:val="21"/>
          <w:highlight w:val="none"/>
        </w:rPr>
        <w:t>确定施工现场内的运输道路硬化平整、坚实，并具有良好的排水措施，承载力满足运输要求；</w:t>
      </w:r>
    </w:p>
    <w:p>
      <w:pPr>
        <w:spacing w:line="240" w:lineRule="auto"/>
        <w:ind w:firstLine="440" w:firstLineChars="200"/>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b/>
          <w:bCs/>
          <w:szCs w:val="21"/>
          <w:highlight w:val="none"/>
        </w:rPr>
        <w:t>7</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项目负责人应明确划分现场预制混凝土构件存放区、运输车卸货区/吊装区，并确保区域上方无高处作业</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8</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现场预制混凝土构件存放区域应设置隔离围挡或车挡，并做永久标识区分。</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394" w:name="_Toc8126"/>
      <w:bookmarkStart w:id="395" w:name="_Toc32116"/>
      <w:bookmarkStart w:id="396" w:name="_Toc153205501"/>
      <w:bookmarkStart w:id="397" w:name="_Toc154586195"/>
      <w:bookmarkStart w:id="398" w:name="_Toc28070"/>
      <w:r>
        <w:rPr>
          <w:rFonts w:hint="eastAsia" w:ascii="Times New Roman" w:hAnsi="Times New Roman" w:eastAsia="黑体" w:cs="Times New Roman"/>
          <w:b/>
          <w:bCs w:val="0"/>
          <w:sz w:val="21"/>
          <w:szCs w:val="21"/>
          <w:highlight w:val="none"/>
          <w:lang w:val="en-US" w:eastAsia="zh-CN"/>
        </w:rPr>
        <w:t>7</w:t>
      </w:r>
      <w:r>
        <w:rPr>
          <w:rFonts w:hint="eastAsia" w:ascii="宋体" w:hAnsi="宋体" w:eastAsia="宋体" w:cs="宋体"/>
          <w:b/>
          <w:bCs w:val="0"/>
          <w:sz w:val="21"/>
          <w:szCs w:val="21"/>
          <w:highlight w:val="none"/>
          <w:lang w:val="en-US" w:eastAsia="zh-CN"/>
        </w:rPr>
        <w:t>.</w:t>
      </w:r>
      <w:r>
        <w:rPr>
          <w:rFonts w:hint="eastAsia" w:ascii="Times New Roman" w:hAnsi="Times New Roman" w:eastAsia="黑体" w:cs="Times New Roman"/>
          <w:b/>
          <w:bCs w:val="0"/>
          <w:sz w:val="21"/>
          <w:szCs w:val="21"/>
          <w:highlight w:val="none"/>
          <w:lang w:val="en-US" w:eastAsia="zh-CN"/>
        </w:rPr>
        <w:t>3</w:t>
      </w:r>
      <w:r>
        <w:rPr>
          <w:rFonts w:hint="eastAsia" w:ascii="黑体" w:hAnsi="黑体" w:eastAsia="黑体"/>
          <w:b w:val="0"/>
          <w:sz w:val="21"/>
          <w:szCs w:val="21"/>
          <w:highlight w:val="none"/>
          <w:lang w:val="en-US" w:eastAsia="zh-CN"/>
        </w:rPr>
        <w:t xml:space="preserve">  车 </w:t>
      </w:r>
      <w:r>
        <w:rPr>
          <w:rFonts w:hint="eastAsia" w:ascii="黑体" w:hAnsi="黑体" w:eastAsia="黑体" w:cs="黑体"/>
          <w:b w:val="0"/>
          <w:bCs/>
          <w:kern w:val="2"/>
          <w:sz w:val="21"/>
          <w:szCs w:val="21"/>
          <w:highlight w:val="none"/>
          <w:lang w:val="en-US" w:eastAsia="zh-CN" w:bidi="ar-SA"/>
        </w:rPr>
        <w:t>辆 选</w:t>
      </w:r>
      <w:r>
        <w:rPr>
          <w:rFonts w:hint="eastAsia" w:ascii="黑体" w:hAnsi="黑体" w:eastAsia="黑体"/>
          <w:b w:val="0"/>
          <w:sz w:val="21"/>
          <w:szCs w:val="21"/>
          <w:highlight w:val="none"/>
          <w:lang w:val="en-US" w:eastAsia="zh-CN"/>
        </w:rPr>
        <w:t xml:space="preserve"> 择</w:t>
      </w:r>
      <w:bookmarkEnd w:id="394"/>
      <w:bookmarkEnd w:id="395"/>
      <w:bookmarkEnd w:id="396"/>
      <w:bookmarkEnd w:id="397"/>
      <w:bookmarkEnd w:id="398"/>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根据预制混凝土构件类型、重量、尺寸、运输方式等重要信息设计制作运输架并选择相匹配的平板车辆车型。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7</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1</w:t>
      </w:r>
      <w:r>
        <w:rPr>
          <w:rFonts w:hint="eastAsia" w:ascii="黑体" w:hAnsi="黑体" w:eastAsia="黑体" w:cs="黑体"/>
          <w:sz w:val="18"/>
          <w:szCs w:val="18"/>
          <w:highlight w:val="none"/>
        </w:rPr>
        <w:t xml:space="preserve"> </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构件运输车辆表</w:t>
      </w:r>
    </w:p>
    <w:tbl>
      <w:tblPr>
        <w:tblStyle w:val="3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366"/>
        <w:gridCol w:w="4963"/>
        <w:gridCol w:w="2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4" w:hRule="atLeast"/>
          <w:jc w:val="center"/>
        </w:trPr>
        <w:tc>
          <w:tcPr>
            <w:tcW w:w="735" w:type="pct"/>
            <w:tcBorders>
              <w:top w:val="single" w:color="000000" w:sz="12" w:space="0"/>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车辆类型</w:t>
            </w:r>
          </w:p>
        </w:tc>
        <w:tc>
          <w:tcPr>
            <w:tcW w:w="2670" w:type="pc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适用范围</w:t>
            </w:r>
          </w:p>
        </w:tc>
        <w:tc>
          <w:tcPr>
            <w:tcW w:w="1594" w:type="pct"/>
            <w:tcBorders>
              <w:top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735"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吊机车</w:t>
            </w:r>
          </w:p>
        </w:tc>
        <w:tc>
          <w:tcPr>
            <w:tcW w:w="2670"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厂区内部预制混凝土构件运输及部分预制混凝土构件的试安装</w:t>
            </w:r>
          </w:p>
        </w:tc>
        <w:tc>
          <w:tcPr>
            <w:tcW w:w="1594"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450" w:hRule="atLeast"/>
          <w:jc w:val="center"/>
        </w:trPr>
        <w:tc>
          <w:tcPr>
            <w:tcW w:w="735" w:type="pct"/>
            <w:tcBorders>
              <w:left w:val="single" w:color="000000" w:sz="12" w:space="0"/>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半挂牵引车</w:t>
            </w:r>
          </w:p>
        </w:tc>
        <w:tc>
          <w:tcPr>
            <w:tcW w:w="2670" w:type="pct"/>
            <w:tcBorders>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预制混凝土构件的运输</w:t>
            </w:r>
          </w:p>
        </w:tc>
        <w:tc>
          <w:tcPr>
            <w:tcW w:w="1594" w:type="pct"/>
            <w:tcBorders>
              <w:bottom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牵引车头：牵引总质量 40T</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半挂平板：最大载重 30T</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挂车尺寸（长宽高）：</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型号①12.5m*2.5m*1.5m；</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型号②12.5m*2.5m*1m-1.2m</w:t>
            </w:r>
          </w:p>
        </w:tc>
      </w:tr>
    </w:tbl>
    <w:p>
      <w:pPr>
        <w:keepNext w:val="0"/>
        <w:keepLines w:val="0"/>
        <w:pageBreakBefore w:val="0"/>
        <w:widowControl w:val="0"/>
        <w:kinsoku/>
        <w:wordWrap/>
        <w:overflowPunct/>
        <w:topLinePunct w:val="0"/>
        <w:autoSpaceDE/>
        <w:autoSpaceDN/>
        <w:bidi w:val="0"/>
        <w:adjustRightInd/>
        <w:snapToGrid/>
        <w:spacing w:before="334" w:beforeLines="100" w:line="240" w:lineRule="auto"/>
        <w:textAlignment w:val="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所选运输车辆应符合现行国家标准GB 1589-2016与GB/T 6420-2017中所规定的车型组成。</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7</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2-1</w:t>
      </w:r>
      <w:r>
        <w:rPr>
          <w:rFonts w:hint="eastAsia" w:ascii="黑体" w:hAnsi="黑体" w:eastAsia="黑体" w:cs="黑体"/>
          <w:sz w:val="18"/>
          <w:szCs w:val="18"/>
          <w:highlight w:val="none"/>
        </w:rPr>
        <w:t xml:space="preserve"> </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挂车最大允许总质量限值</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763"/>
        <w:gridCol w:w="1448"/>
        <w:gridCol w:w="4508"/>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7" w:hRule="atLeast"/>
          <w:jc w:val="center"/>
        </w:trPr>
        <w:tc>
          <w:tcPr>
            <w:tcW w:w="3615" w:type="pct"/>
            <w:gridSpan w:val="3"/>
            <w:tcBorders>
              <w:top w:val="single" w:color="000000" w:sz="12"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车辆类型</w:t>
            </w:r>
          </w:p>
        </w:tc>
        <w:tc>
          <w:tcPr>
            <w:tcW w:w="1384" w:type="pct"/>
            <w:tcBorders>
              <w:top w:val="single" w:color="000000" w:sz="12"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最大允许总质量限值</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（单位：千克）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7" w:hRule="exact"/>
          <w:jc w:val="center"/>
        </w:trPr>
        <w:tc>
          <w:tcPr>
            <w:tcW w:w="411" w:type="pct"/>
            <w:vMerge w:val="restart"/>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挂车</w:t>
            </w:r>
          </w:p>
        </w:tc>
        <w:tc>
          <w:tcPr>
            <w:tcW w:w="779"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半挂车</w:t>
            </w:r>
          </w:p>
        </w:tc>
        <w:tc>
          <w:tcPr>
            <w:tcW w:w="2424"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一轴</w:t>
            </w:r>
          </w:p>
        </w:tc>
        <w:tc>
          <w:tcPr>
            <w:tcW w:w="1384"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7" w:hRule="exact"/>
          <w:jc w:val="center"/>
        </w:trPr>
        <w:tc>
          <w:tcPr>
            <w:tcW w:w="411" w:type="pct"/>
            <w:vMerge w:val="continue"/>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424"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二轴</w:t>
            </w:r>
          </w:p>
        </w:tc>
        <w:tc>
          <w:tcPr>
            <w:tcW w:w="1384"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411" w:type="pct"/>
            <w:vMerge w:val="continue"/>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424"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三轴</w:t>
            </w:r>
          </w:p>
        </w:tc>
        <w:tc>
          <w:tcPr>
            <w:tcW w:w="1384"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7" w:hRule="exact"/>
          <w:jc w:val="center"/>
        </w:trPr>
        <w:tc>
          <w:tcPr>
            <w:tcW w:w="411" w:type="pct"/>
            <w:vMerge w:val="continue"/>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779"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牵引杆挂车</w:t>
            </w:r>
          </w:p>
        </w:tc>
        <w:tc>
          <w:tcPr>
            <w:tcW w:w="2424"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二轴，每轴每侧为单轮胎</w:t>
            </w:r>
          </w:p>
        </w:tc>
        <w:tc>
          <w:tcPr>
            <w:tcW w:w="1384"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12000</w:t>
            </w:r>
            <w:r>
              <w:rPr>
                <w:rFonts w:hint="eastAsia" w:ascii="Times New Roman" w:hAnsi="Times New Roman" w:eastAsia="宋体" w:cs="Times New Roman"/>
                <w:sz w:val="15"/>
                <w:szCs w:val="15"/>
                <w:highlight w:val="none"/>
                <w:vertAlign w:val="super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7" w:hRule="exact"/>
          <w:jc w:val="center"/>
        </w:trPr>
        <w:tc>
          <w:tcPr>
            <w:tcW w:w="411" w:type="pct"/>
            <w:vMerge w:val="continue"/>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424"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二轴，一轴每侧为单轮胎，另一轴为双轮胎</w:t>
            </w:r>
          </w:p>
        </w:tc>
        <w:tc>
          <w:tcPr>
            <w:tcW w:w="1384"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7" w:hRule="exact"/>
          <w:jc w:val="center"/>
        </w:trPr>
        <w:tc>
          <w:tcPr>
            <w:tcW w:w="411" w:type="pct"/>
            <w:vMerge w:val="continue"/>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2424"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二轴，每轴每侧为双轮胎</w:t>
            </w:r>
          </w:p>
        </w:tc>
        <w:tc>
          <w:tcPr>
            <w:tcW w:w="1384"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jc w:val="center"/>
        </w:trPr>
        <w:tc>
          <w:tcPr>
            <w:tcW w:w="411" w:type="pct"/>
            <w:vMerge w:val="continue"/>
            <w:tcBorders>
              <w:top w:val="single" w:color="000000" w:sz="4" w:space="0"/>
              <w:left w:val="single" w:color="000000" w:sz="12"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779"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中置轴挂车</w:t>
            </w:r>
          </w:p>
        </w:tc>
        <w:tc>
          <w:tcPr>
            <w:tcW w:w="2424"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一轴</w:t>
            </w:r>
          </w:p>
        </w:tc>
        <w:tc>
          <w:tcPr>
            <w:tcW w:w="1384"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7" w:hRule="exact"/>
          <w:jc w:val="center"/>
        </w:trPr>
        <w:tc>
          <w:tcPr>
            <w:tcW w:w="411" w:type="pct"/>
            <w:vMerge w:val="continue"/>
            <w:tcBorders>
              <w:top w:val="single" w:color="000000" w:sz="4" w:space="0"/>
              <w:left w:val="single" w:color="000000" w:sz="12" w:space="0"/>
              <w:bottom w:val="single" w:color="000000" w:sz="4" w:space="0"/>
              <w:right w:val="single" w:color="000000" w:sz="4" w:space="0"/>
            </w:tcBorders>
            <w:vAlign w:val="center"/>
          </w:tcPr>
          <w:p>
            <w:pPr>
              <w:ind w:firstLine="420"/>
              <w:jc w:val="center"/>
              <w:rPr>
                <w:rFonts w:asciiTheme="minorEastAsia" w:hAnsiTheme="minorEastAsia" w:eastAsiaTheme="minorEastAsia" w:cstheme="minorEastAsia"/>
                <w:highlight w:val="none"/>
              </w:rPr>
            </w:pPr>
          </w:p>
        </w:tc>
        <w:tc>
          <w:tcPr>
            <w:tcW w:w="779" w:type="pct"/>
            <w:vMerge w:val="continue"/>
            <w:tcBorders>
              <w:top w:val="single" w:color="000000" w:sz="4" w:space="0"/>
              <w:left w:val="single" w:color="000000" w:sz="4" w:space="0"/>
              <w:bottom w:val="single" w:color="000000" w:sz="4" w:space="0"/>
              <w:right w:val="single" w:color="000000" w:sz="4" w:space="0"/>
            </w:tcBorders>
            <w:vAlign w:val="center"/>
          </w:tcPr>
          <w:p>
            <w:pPr>
              <w:ind w:firstLine="420"/>
              <w:jc w:val="center"/>
              <w:rPr>
                <w:rFonts w:asciiTheme="minorEastAsia" w:hAnsiTheme="minorEastAsia" w:eastAsiaTheme="minorEastAsia" w:cstheme="minorEastAsia"/>
                <w:highlight w:val="none"/>
              </w:rPr>
            </w:pPr>
          </w:p>
        </w:tc>
        <w:tc>
          <w:tcPr>
            <w:tcW w:w="2424" w:type="pct"/>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二轴</w:t>
            </w:r>
          </w:p>
        </w:tc>
        <w:tc>
          <w:tcPr>
            <w:tcW w:w="1384" w:type="pct"/>
            <w:tcBorders>
              <w:top w:val="single" w:color="000000" w:sz="4" w:space="0"/>
              <w:left w:val="single" w:color="000000" w:sz="4" w:space="0"/>
              <w:bottom w:val="single" w:color="000000"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7" w:hRule="exact"/>
          <w:jc w:val="center"/>
        </w:trPr>
        <w:tc>
          <w:tcPr>
            <w:tcW w:w="411" w:type="pct"/>
            <w:vMerge w:val="continue"/>
            <w:tcBorders>
              <w:top w:val="single" w:color="000000" w:sz="4" w:space="0"/>
              <w:left w:val="single" w:color="000000" w:sz="12" w:space="0"/>
              <w:bottom w:val="single" w:color="000000" w:sz="12" w:space="0"/>
              <w:right w:val="single" w:color="000000" w:sz="4" w:space="0"/>
            </w:tcBorders>
            <w:vAlign w:val="center"/>
          </w:tcPr>
          <w:p>
            <w:pPr>
              <w:ind w:firstLine="420"/>
              <w:jc w:val="center"/>
              <w:rPr>
                <w:rFonts w:asciiTheme="minorEastAsia" w:hAnsiTheme="minorEastAsia" w:eastAsiaTheme="minorEastAsia" w:cstheme="minorEastAsia"/>
                <w:highlight w:val="none"/>
              </w:rPr>
            </w:pPr>
          </w:p>
        </w:tc>
        <w:tc>
          <w:tcPr>
            <w:tcW w:w="779" w:type="pct"/>
            <w:vMerge w:val="continue"/>
            <w:tcBorders>
              <w:top w:val="single" w:color="000000" w:sz="4" w:space="0"/>
              <w:left w:val="single" w:color="000000" w:sz="4" w:space="0"/>
              <w:bottom w:val="single" w:color="000000" w:sz="12" w:space="0"/>
              <w:right w:val="single" w:color="000000" w:sz="4" w:space="0"/>
            </w:tcBorders>
            <w:vAlign w:val="center"/>
          </w:tcPr>
          <w:p>
            <w:pPr>
              <w:ind w:firstLine="420"/>
              <w:jc w:val="center"/>
              <w:rPr>
                <w:rFonts w:asciiTheme="minorEastAsia" w:hAnsiTheme="minorEastAsia" w:eastAsiaTheme="minorEastAsia" w:cstheme="minorEastAsia"/>
                <w:highlight w:val="none"/>
              </w:rPr>
            </w:pPr>
          </w:p>
        </w:tc>
        <w:tc>
          <w:tcPr>
            <w:tcW w:w="2424" w:type="pct"/>
            <w:tcBorders>
              <w:top w:val="single" w:color="000000" w:sz="4" w:space="0"/>
              <w:left w:val="single" w:color="000000" w:sz="4" w:space="0"/>
              <w:bottom w:val="single" w:color="000000" w:sz="12" w:space="0"/>
              <w:right w:val="single" w:color="000000" w:sz="4"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三轴</w:t>
            </w:r>
          </w:p>
        </w:tc>
        <w:tc>
          <w:tcPr>
            <w:tcW w:w="1384" w:type="pct"/>
            <w:tcBorders>
              <w:top w:val="single" w:color="000000" w:sz="4" w:space="0"/>
              <w:left w:val="single" w:color="000000" w:sz="4" w:space="0"/>
              <w:bottom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24000</w:t>
            </w:r>
          </w:p>
        </w:tc>
      </w:tr>
    </w:tbl>
    <w:p>
      <w:pPr>
        <w:spacing w:line="240" w:lineRule="auto"/>
        <w:ind w:firstLine="380" w:firstLineChars="200"/>
        <w:rPr>
          <w:sz w:val="18"/>
          <w:szCs w:val="18"/>
          <w:highlight w:val="none"/>
        </w:rPr>
      </w:pPr>
      <w:r>
        <w:rPr>
          <w:rFonts w:hint="eastAsia"/>
          <w:sz w:val="18"/>
          <w:szCs w:val="18"/>
          <w:highlight w:val="none"/>
        </w:rPr>
        <w:t>注：安装名义断面宽度不小于</w:t>
      </w:r>
      <w:r>
        <w:rPr>
          <w:sz w:val="18"/>
          <w:szCs w:val="18"/>
          <w:highlight w:val="none"/>
        </w:rPr>
        <w:t>425mm轮胎,最大允许总质量限值为18 000 kg。</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7</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2-2</w:t>
      </w:r>
      <w:r>
        <w:rPr>
          <w:rFonts w:hint="eastAsia" w:ascii="黑体" w:hAnsi="黑体" w:eastAsia="黑体" w:cs="黑体"/>
          <w:sz w:val="18"/>
          <w:szCs w:val="18"/>
          <w:highlight w:val="none"/>
        </w:rPr>
        <w:t xml:space="preserve"> </w:t>
      </w:r>
      <w:r>
        <w:rPr>
          <w:rFonts w:hint="eastAsia" w:ascii="黑体" w:hAnsi="黑体" w:eastAsia="黑体" w:cs="黑体"/>
          <w:b w:val="0"/>
          <w:bCs w:val="0"/>
          <w:sz w:val="18"/>
          <w:szCs w:val="18"/>
          <w:highlight w:val="none"/>
          <w:lang w:val="en-US" w:eastAsia="zh-CN"/>
        </w:rPr>
        <w:t xml:space="preserve"> </w:t>
      </w:r>
      <w:r>
        <w:rPr>
          <w:rFonts w:hint="eastAsia" w:ascii="黑体" w:hAnsi="黑体" w:eastAsia="黑体" w:cs="黑体"/>
          <w:sz w:val="18"/>
          <w:szCs w:val="18"/>
          <w:highlight w:val="none"/>
        </w:rPr>
        <w:t>平板式货运挂车基本系列型谱</w:t>
      </w:r>
    </w:p>
    <w:tbl>
      <w:tblPr>
        <w:tblStyle w:val="1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468"/>
        <w:gridCol w:w="646"/>
        <w:gridCol w:w="1958"/>
        <w:gridCol w:w="676"/>
        <w:gridCol w:w="938"/>
        <w:gridCol w:w="1250"/>
        <w:gridCol w:w="650"/>
        <w:gridCol w:w="912"/>
        <w:gridCol w:w="782"/>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jc w:val="center"/>
        </w:trPr>
        <w:tc>
          <w:tcPr>
            <w:tcW w:w="252" w:type="pct"/>
            <w:vMerge w:val="restart"/>
            <w:tcBorders>
              <w:top w:val="single" w:color="000000" w:sz="12" w:space="0"/>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序号</w:t>
            </w:r>
          </w:p>
        </w:tc>
        <w:tc>
          <w:tcPr>
            <w:tcW w:w="348" w:type="pct"/>
            <w:vMerge w:val="restar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车辆</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类别</w:t>
            </w:r>
          </w:p>
        </w:tc>
        <w:tc>
          <w:tcPr>
            <w:tcW w:w="1054" w:type="pct"/>
            <w:vMerge w:val="restar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基本形式</w:t>
            </w:r>
          </w:p>
        </w:tc>
        <w:tc>
          <w:tcPr>
            <w:tcW w:w="364" w:type="pct"/>
            <w:vMerge w:val="restar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车轴数量</w:t>
            </w:r>
          </w:p>
        </w:tc>
        <w:tc>
          <w:tcPr>
            <w:tcW w:w="505" w:type="pct"/>
            <w:vMerge w:val="restar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最大允许总质量/kg</w:t>
            </w:r>
          </w:p>
        </w:tc>
        <w:tc>
          <w:tcPr>
            <w:tcW w:w="1023" w:type="pct"/>
            <w:gridSpan w:val="2"/>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整备质量/kg</w:t>
            </w:r>
          </w:p>
        </w:tc>
        <w:tc>
          <w:tcPr>
            <w:tcW w:w="491" w:type="pct"/>
            <w:vMerge w:val="restar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最大长度/mm</w:t>
            </w:r>
          </w:p>
        </w:tc>
        <w:tc>
          <w:tcPr>
            <w:tcW w:w="421" w:type="pct"/>
            <w:vMerge w:val="restar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最大宽度/mm</w:t>
            </w:r>
          </w:p>
        </w:tc>
        <w:tc>
          <w:tcPr>
            <w:tcW w:w="538" w:type="pct"/>
            <w:vMerge w:val="restart"/>
            <w:tcBorders>
              <w:top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承载面高度/mm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2" w:type="pct"/>
            <w:vMerge w:val="continue"/>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348" w:type="pct"/>
            <w:vMerge w:val="continue"/>
            <w:vAlign w:val="center"/>
          </w:tcPr>
          <w:p>
            <w:pPr>
              <w:spacing w:line="240" w:lineRule="auto"/>
              <w:jc w:val="center"/>
              <w:rPr>
                <w:rFonts w:hint="eastAsia" w:ascii="Times New Roman" w:hAnsi="Times New Roman" w:eastAsia="宋体" w:cs="Times New Roman"/>
                <w:sz w:val="15"/>
                <w:szCs w:val="15"/>
                <w:highlight w:val="none"/>
              </w:rPr>
            </w:pPr>
          </w:p>
        </w:tc>
        <w:tc>
          <w:tcPr>
            <w:tcW w:w="1054" w:type="pct"/>
            <w:vMerge w:val="continue"/>
            <w:vAlign w:val="center"/>
          </w:tcPr>
          <w:p>
            <w:pPr>
              <w:spacing w:line="240" w:lineRule="auto"/>
              <w:jc w:val="center"/>
              <w:rPr>
                <w:rFonts w:hint="eastAsia" w:ascii="Times New Roman" w:hAnsi="Times New Roman" w:eastAsia="宋体" w:cs="Times New Roman"/>
                <w:sz w:val="15"/>
                <w:szCs w:val="15"/>
                <w:highlight w:val="none"/>
              </w:rPr>
            </w:pPr>
          </w:p>
        </w:tc>
        <w:tc>
          <w:tcPr>
            <w:tcW w:w="364" w:type="pct"/>
            <w:vMerge w:val="continue"/>
            <w:vAlign w:val="center"/>
          </w:tcPr>
          <w:p>
            <w:pPr>
              <w:spacing w:line="240" w:lineRule="auto"/>
              <w:jc w:val="center"/>
              <w:rPr>
                <w:rFonts w:hint="eastAsia" w:ascii="Times New Roman" w:hAnsi="Times New Roman" w:eastAsia="宋体" w:cs="Times New Roman"/>
                <w:sz w:val="15"/>
                <w:szCs w:val="15"/>
                <w:highlight w:val="none"/>
              </w:rPr>
            </w:pPr>
          </w:p>
        </w:tc>
        <w:tc>
          <w:tcPr>
            <w:tcW w:w="505" w:type="pct"/>
            <w:vMerge w:val="continue"/>
            <w:vAlign w:val="center"/>
          </w:tcPr>
          <w:p>
            <w:pPr>
              <w:spacing w:line="240" w:lineRule="auto"/>
              <w:jc w:val="center"/>
              <w:rPr>
                <w:rFonts w:hint="eastAsia" w:ascii="Times New Roman" w:hAnsi="Times New Roman" w:eastAsia="宋体" w:cs="Times New Roman"/>
                <w:sz w:val="15"/>
                <w:szCs w:val="15"/>
                <w:highlight w:val="none"/>
              </w:rPr>
            </w:pPr>
          </w:p>
        </w:tc>
        <w:tc>
          <w:tcPr>
            <w:tcW w:w="673"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A类</w:t>
            </w:r>
          </w:p>
        </w:tc>
        <w:tc>
          <w:tcPr>
            <w:tcW w:w="349"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B类</w:t>
            </w:r>
          </w:p>
        </w:tc>
        <w:tc>
          <w:tcPr>
            <w:tcW w:w="491" w:type="pct"/>
            <w:vMerge w:val="continue"/>
            <w:vAlign w:val="center"/>
          </w:tcPr>
          <w:p>
            <w:pPr>
              <w:spacing w:line="240" w:lineRule="auto"/>
              <w:jc w:val="center"/>
              <w:rPr>
                <w:rFonts w:hint="eastAsia" w:ascii="Times New Roman" w:hAnsi="Times New Roman" w:eastAsia="宋体" w:cs="Times New Roman"/>
                <w:sz w:val="15"/>
                <w:szCs w:val="15"/>
                <w:highlight w:val="none"/>
              </w:rPr>
            </w:pPr>
          </w:p>
        </w:tc>
        <w:tc>
          <w:tcPr>
            <w:tcW w:w="421" w:type="pct"/>
            <w:vMerge w:val="continue"/>
            <w:vAlign w:val="center"/>
          </w:tcPr>
          <w:p>
            <w:pPr>
              <w:spacing w:line="240" w:lineRule="auto"/>
              <w:jc w:val="center"/>
              <w:rPr>
                <w:rFonts w:hint="eastAsia" w:ascii="Times New Roman" w:hAnsi="Times New Roman" w:eastAsia="宋体" w:cs="Times New Roman"/>
                <w:sz w:val="15"/>
                <w:szCs w:val="15"/>
                <w:highlight w:val="none"/>
              </w:rPr>
            </w:pPr>
          </w:p>
        </w:tc>
        <w:tc>
          <w:tcPr>
            <w:tcW w:w="538" w:type="pct"/>
            <w:vMerge w:val="continue"/>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1" w:hRule="atLeast"/>
          <w:jc w:val="center"/>
        </w:trPr>
        <w:tc>
          <w:tcPr>
            <w:tcW w:w="25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w:t>
            </w:r>
          </w:p>
        </w:tc>
        <w:tc>
          <w:tcPr>
            <w:tcW w:w="348" w:type="pct"/>
            <w:vMerge w:val="restar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半</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挂</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车</w:t>
            </w:r>
          </w:p>
        </w:tc>
        <w:tc>
          <w:tcPr>
            <w:tcW w:w="1054"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drawing>
                <wp:inline distT="0" distB="0" distL="0" distR="0">
                  <wp:extent cx="962025" cy="320040"/>
                  <wp:effectExtent l="0" t="0" r="9525" b="3810"/>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9"/>
                          <a:stretch>
                            <a:fillRect/>
                          </a:stretch>
                        </pic:blipFill>
                        <pic:spPr>
                          <a:xfrm>
                            <a:off x="0" y="0"/>
                            <a:ext cx="966841" cy="322165"/>
                          </a:xfrm>
                          <a:prstGeom prst="rect">
                            <a:avLst/>
                          </a:prstGeom>
                        </pic:spPr>
                      </pic:pic>
                    </a:graphicData>
                  </a:graphic>
                </wp:inline>
              </w:drawing>
            </w:r>
          </w:p>
        </w:tc>
        <w:tc>
          <w:tcPr>
            <w:tcW w:w="364"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w:t>
            </w:r>
          </w:p>
        </w:tc>
        <w:tc>
          <w:tcPr>
            <w:tcW w:w="505"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35 000</w:t>
            </w:r>
          </w:p>
        </w:tc>
        <w:tc>
          <w:tcPr>
            <w:tcW w:w="673"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≤10 500</w:t>
            </w:r>
          </w:p>
        </w:tc>
        <w:tc>
          <w:tcPr>
            <w:tcW w:w="349"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w:t>
            </w:r>
          </w:p>
        </w:tc>
        <w:tc>
          <w:tcPr>
            <w:tcW w:w="491" w:type="pct"/>
            <w:vMerge w:val="restar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13</w:t>
            </w:r>
            <w:r>
              <w:rPr>
                <w:rFonts w:hint="eastAsia" w:cs="Times New Roman"/>
                <w:sz w:val="15"/>
                <w:szCs w:val="15"/>
                <w:highlight w:val="none"/>
                <w:lang w:val="en-US" w:eastAsia="zh-CN"/>
              </w:rPr>
              <w:t xml:space="preserve"> </w:t>
            </w:r>
            <w:r>
              <w:rPr>
                <w:rFonts w:hint="eastAsia" w:ascii="Times New Roman" w:hAnsi="Times New Roman" w:eastAsia="宋体" w:cs="Times New Roman"/>
                <w:sz w:val="15"/>
                <w:szCs w:val="15"/>
                <w:highlight w:val="none"/>
              </w:rPr>
              <w:t>750</w:t>
            </w:r>
          </w:p>
        </w:tc>
        <w:tc>
          <w:tcPr>
            <w:tcW w:w="421" w:type="pct"/>
            <w:vMerge w:val="restar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w:t>
            </w:r>
            <w:r>
              <w:rPr>
                <w:rFonts w:hint="eastAsia" w:cs="Times New Roman"/>
                <w:sz w:val="15"/>
                <w:szCs w:val="15"/>
                <w:highlight w:val="none"/>
                <w:lang w:val="en-US" w:eastAsia="zh-CN"/>
              </w:rPr>
              <w:t xml:space="preserve"> </w:t>
            </w:r>
            <w:r>
              <w:rPr>
                <w:rFonts w:hint="eastAsia" w:ascii="Times New Roman" w:hAnsi="Times New Roman" w:eastAsia="宋体" w:cs="Times New Roman"/>
                <w:sz w:val="15"/>
                <w:szCs w:val="15"/>
                <w:highlight w:val="none"/>
              </w:rPr>
              <w:t>000</w:t>
            </w:r>
          </w:p>
        </w:tc>
        <w:tc>
          <w:tcPr>
            <w:tcW w:w="538" w:type="pct"/>
            <w:vMerge w:val="restar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w:t>
            </w:r>
            <w:r>
              <w:rPr>
                <w:rFonts w:hint="eastAsia" w:cs="Times New Roman"/>
                <w:sz w:val="15"/>
                <w:szCs w:val="15"/>
                <w:highlight w:val="none"/>
                <w:lang w:val="en-US" w:eastAsia="zh-CN"/>
              </w:rPr>
              <w:t xml:space="preserve"> </w:t>
            </w:r>
            <w:r>
              <w:rPr>
                <w:rFonts w:hint="eastAsia" w:ascii="Times New Roman" w:hAnsi="Times New Roman" w:eastAsia="宋体" w:cs="Times New Roman"/>
                <w:sz w:val="15"/>
                <w:szCs w:val="15"/>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jc w:val="center"/>
        </w:trPr>
        <w:tc>
          <w:tcPr>
            <w:tcW w:w="25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2</w:t>
            </w:r>
          </w:p>
        </w:tc>
        <w:tc>
          <w:tcPr>
            <w:tcW w:w="348" w:type="pct"/>
            <w:vMerge w:val="continue"/>
            <w:vAlign w:val="center"/>
          </w:tcPr>
          <w:p>
            <w:pPr>
              <w:widowControl/>
              <w:ind w:firstLine="420"/>
              <w:jc w:val="center"/>
              <w:rPr>
                <w:rFonts w:asciiTheme="minorEastAsia" w:hAnsiTheme="minorEastAsia" w:eastAsiaTheme="minorEastAsia" w:cstheme="minorEastAsia"/>
                <w:highlight w:val="none"/>
              </w:rPr>
            </w:pPr>
          </w:p>
        </w:tc>
        <w:tc>
          <w:tcPr>
            <w:tcW w:w="1054" w:type="pct"/>
            <w:vAlign w:val="center"/>
          </w:tcPr>
          <w:p>
            <w:pPr>
              <w:widowControl/>
              <w:jc w:val="center"/>
              <w:rPr>
                <w:rFonts w:asciiTheme="minorEastAsia" w:hAnsiTheme="minorEastAsia" w:eastAsiaTheme="minorEastAsia" w:cstheme="minorEastAsia"/>
                <w:highlight w:val="none"/>
              </w:rPr>
            </w:pPr>
            <w:r>
              <w:rPr>
                <w:highlight w:val="none"/>
              </w:rPr>
              <w:drawing>
                <wp:inline distT="0" distB="0" distL="0" distR="0">
                  <wp:extent cx="962025" cy="299720"/>
                  <wp:effectExtent l="0" t="0" r="9525" b="508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10"/>
                          <a:stretch>
                            <a:fillRect/>
                          </a:stretch>
                        </pic:blipFill>
                        <pic:spPr>
                          <a:xfrm>
                            <a:off x="0" y="0"/>
                            <a:ext cx="973626" cy="303826"/>
                          </a:xfrm>
                          <a:prstGeom prst="rect">
                            <a:avLst/>
                          </a:prstGeom>
                        </pic:spPr>
                      </pic:pic>
                    </a:graphicData>
                  </a:graphic>
                </wp:inline>
              </w:drawing>
            </w:r>
          </w:p>
        </w:tc>
        <w:tc>
          <w:tcPr>
            <w:tcW w:w="364"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两线</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4轴</w:t>
            </w:r>
          </w:p>
        </w:tc>
        <w:tc>
          <w:tcPr>
            <w:tcW w:w="505"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40 000</w:t>
            </w:r>
          </w:p>
        </w:tc>
        <w:tc>
          <w:tcPr>
            <w:tcW w:w="673"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≤12 000</w:t>
            </w:r>
          </w:p>
        </w:tc>
        <w:tc>
          <w:tcPr>
            <w:tcW w:w="349"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w:t>
            </w:r>
          </w:p>
        </w:tc>
        <w:tc>
          <w:tcPr>
            <w:tcW w:w="491" w:type="pct"/>
            <w:vMerge w:val="continue"/>
            <w:vAlign w:val="center"/>
          </w:tcPr>
          <w:p>
            <w:pPr>
              <w:widowControl/>
              <w:ind w:firstLine="420"/>
              <w:jc w:val="center"/>
              <w:rPr>
                <w:rFonts w:asciiTheme="minorEastAsia" w:hAnsiTheme="minorEastAsia" w:eastAsiaTheme="minorEastAsia" w:cstheme="minorEastAsia"/>
                <w:highlight w:val="none"/>
              </w:rPr>
            </w:pPr>
          </w:p>
        </w:tc>
        <w:tc>
          <w:tcPr>
            <w:tcW w:w="421" w:type="pct"/>
            <w:vMerge w:val="continue"/>
            <w:vAlign w:val="center"/>
          </w:tcPr>
          <w:p>
            <w:pPr>
              <w:widowControl/>
              <w:ind w:firstLine="420"/>
              <w:jc w:val="center"/>
              <w:rPr>
                <w:rFonts w:asciiTheme="minorEastAsia" w:hAnsiTheme="minorEastAsia" w:eastAsiaTheme="minorEastAsia" w:cstheme="minorEastAsia"/>
                <w:highlight w:val="none"/>
              </w:rPr>
            </w:pPr>
          </w:p>
        </w:tc>
        <w:tc>
          <w:tcPr>
            <w:tcW w:w="538" w:type="pct"/>
            <w:vMerge w:val="continue"/>
            <w:tcBorders>
              <w:right w:val="single" w:color="000000" w:sz="12" w:space="0"/>
            </w:tcBorders>
            <w:vAlign w:val="center"/>
          </w:tcPr>
          <w:p>
            <w:pPr>
              <w:widowControl/>
              <w:ind w:firstLine="420"/>
              <w:jc w:val="center"/>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2" w:hRule="atLeast"/>
          <w:jc w:val="center"/>
        </w:trPr>
        <w:tc>
          <w:tcPr>
            <w:tcW w:w="25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w:t>
            </w:r>
          </w:p>
        </w:tc>
        <w:tc>
          <w:tcPr>
            <w:tcW w:w="348" w:type="pct"/>
            <w:vMerge w:val="continue"/>
            <w:vAlign w:val="center"/>
          </w:tcPr>
          <w:p>
            <w:pPr>
              <w:widowControl/>
              <w:ind w:firstLine="420"/>
              <w:jc w:val="center"/>
              <w:rPr>
                <w:rFonts w:asciiTheme="minorEastAsia" w:hAnsiTheme="minorEastAsia" w:eastAsiaTheme="minorEastAsia" w:cstheme="minorEastAsia"/>
                <w:highlight w:val="none"/>
              </w:rPr>
            </w:pPr>
          </w:p>
        </w:tc>
        <w:tc>
          <w:tcPr>
            <w:tcW w:w="1054" w:type="pct"/>
            <w:vAlign w:val="center"/>
          </w:tcPr>
          <w:p>
            <w:pPr>
              <w:widowControl/>
              <w:jc w:val="center"/>
              <w:rPr>
                <w:rFonts w:asciiTheme="minorEastAsia" w:hAnsiTheme="minorEastAsia" w:eastAsiaTheme="minorEastAsia" w:cstheme="minorEastAsia"/>
                <w:highlight w:val="none"/>
              </w:rPr>
            </w:pPr>
            <w:r>
              <w:rPr>
                <w:highlight w:val="none"/>
              </w:rPr>
              <w:drawing>
                <wp:inline distT="0" distB="0" distL="0" distR="0">
                  <wp:extent cx="962025" cy="297815"/>
                  <wp:effectExtent l="0" t="0" r="9525" b="6985"/>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pic:cNvPicPr>
                        </pic:nvPicPr>
                        <pic:blipFill>
                          <a:blip r:embed="rId11"/>
                          <a:stretch>
                            <a:fillRect/>
                          </a:stretch>
                        </pic:blipFill>
                        <pic:spPr>
                          <a:xfrm>
                            <a:off x="0" y="0"/>
                            <a:ext cx="966347" cy="299597"/>
                          </a:xfrm>
                          <a:prstGeom prst="rect">
                            <a:avLst/>
                          </a:prstGeom>
                        </pic:spPr>
                      </pic:pic>
                    </a:graphicData>
                  </a:graphic>
                </wp:inline>
              </w:drawing>
            </w:r>
          </w:p>
        </w:tc>
        <w:tc>
          <w:tcPr>
            <w:tcW w:w="364"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w:t>
            </w:r>
          </w:p>
        </w:tc>
        <w:tc>
          <w:tcPr>
            <w:tcW w:w="505"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40 000</w:t>
            </w:r>
          </w:p>
        </w:tc>
        <w:tc>
          <w:tcPr>
            <w:tcW w:w="673"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≤12 000</w:t>
            </w:r>
          </w:p>
        </w:tc>
        <w:tc>
          <w:tcPr>
            <w:tcW w:w="349"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w:t>
            </w:r>
          </w:p>
        </w:tc>
        <w:tc>
          <w:tcPr>
            <w:tcW w:w="491" w:type="pct"/>
            <w:vMerge w:val="continue"/>
            <w:vAlign w:val="center"/>
          </w:tcPr>
          <w:p>
            <w:pPr>
              <w:widowControl/>
              <w:ind w:firstLine="420"/>
              <w:jc w:val="center"/>
              <w:rPr>
                <w:rFonts w:asciiTheme="minorEastAsia" w:hAnsiTheme="minorEastAsia" w:eastAsiaTheme="minorEastAsia" w:cstheme="minorEastAsia"/>
                <w:highlight w:val="none"/>
              </w:rPr>
            </w:pPr>
          </w:p>
        </w:tc>
        <w:tc>
          <w:tcPr>
            <w:tcW w:w="421" w:type="pct"/>
            <w:vMerge w:val="continue"/>
            <w:vAlign w:val="center"/>
          </w:tcPr>
          <w:p>
            <w:pPr>
              <w:widowControl/>
              <w:ind w:firstLine="420"/>
              <w:jc w:val="center"/>
              <w:rPr>
                <w:rFonts w:asciiTheme="minorEastAsia" w:hAnsiTheme="minorEastAsia" w:eastAsiaTheme="minorEastAsia" w:cstheme="minorEastAsia"/>
                <w:highlight w:val="none"/>
              </w:rPr>
            </w:pPr>
          </w:p>
        </w:tc>
        <w:tc>
          <w:tcPr>
            <w:tcW w:w="538" w:type="pct"/>
            <w:vMerge w:val="continue"/>
            <w:tcBorders>
              <w:right w:val="single" w:color="000000" w:sz="12" w:space="0"/>
            </w:tcBorders>
            <w:vAlign w:val="center"/>
          </w:tcPr>
          <w:p>
            <w:pPr>
              <w:widowControl/>
              <w:ind w:firstLine="420"/>
              <w:jc w:val="center"/>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jc w:val="center"/>
        </w:trPr>
        <w:tc>
          <w:tcPr>
            <w:tcW w:w="252"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w:t>
            </w:r>
          </w:p>
        </w:tc>
        <w:tc>
          <w:tcPr>
            <w:tcW w:w="348" w:type="pct"/>
            <w:vMerge w:val="continue"/>
            <w:vAlign w:val="center"/>
          </w:tcPr>
          <w:p>
            <w:pPr>
              <w:widowControl/>
              <w:ind w:firstLine="420"/>
              <w:jc w:val="center"/>
              <w:rPr>
                <w:rFonts w:asciiTheme="minorEastAsia" w:hAnsiTheme="minorEastAsia" w:eastAsiaTheme="minorEastAsia" w:cstheme="minorEastAsia"/>
                <w:highlight w:val="none"/>
              </w:rPr>
            </w:pPr>
          </w:p>
        </w:tc>
        <w:tc>
          <w:tcPr>
            <w:tcW w:w="1054" w:type="pct"/>
            <w:vAlign w:val="center"/>
          </w:tcPr>
          <w:p>
            <w:pPr>
              <w:widowControl/>
              <w:jc w:val="center"/>
              <w:rPr>
                <w:rFonts w:asciiTheme="minorEastAsia" w:hAnsiTheme="minorEastAsia" w:eastAsiaTheme="minorEastAsia" w:cstheme="minorEastAsia"/>
                <w:highlight w:val="none"/>
              </w:rPr>
            </w:pPr>
            <w:r>
              <w:rPr>
                <w:highlight w:val="none"/>
              </w:rPr>
              <w:drawing>
                <wp:inline distT="0" distB="0" distL="0" distR="0">
                  <wp:extent cx="962025" cy="347980"/>
                  <wp:effectExtent l="0" t="0" r="9525" b="13970"/>
                  <wp:docPr id="14"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true"/>
                          </pic:cNvPicPr>
                        </pic:nvPicPr>
                        <pic:blipFill>
                          <a:blip r:embed="rId12"/>
                          <a:stretch>
                            <a:fillRect/>
                          </a:stretch>
                        </pic:blipFill>
                        <pic:spPr>
                          <a:xfrm>
                            <a:off x="0" y="0"/>
                            <a:ext cx="971481" cy="351387"/>
                          </a:xfrm>
                          <a:prstGeom prst="rect">
                            <a:avLst/>
                          </a:prstGeom>
                        </pic:spPr>
                      </pic:pic>
                    </a:graphicData>
                  </a:graphic>
                </wp:inline>
              </w:drawing>
            </w:r>
          </w:p>
        </w:tc>
        <w:tc>
          <w:tcPr>
            <w:tcW w:w="364"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三线</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6轴</w:t>
            </w:r>
          </w:p>
        </w:tc>
        <w:tc>
          <w:tcPr>
            <w:tcW w:w="505"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40 000</w:t>
            </w:r>
          </w:p>
        </w:tc>
        <w:tc>
          <w:tcPr>
            <w:tcW w:w="673"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≤14 000</w:t>
            </w:r>
          </w:p>
        </w:tc>
        <w:tc>
          <w:tcPr>
            <w:tcW w:w="349"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w:t>
            </w:r>
          </w:p>
        </w:tc>
        <w:tc>
          <w:tcPr>
            <w:tcW w:w="491" w:type="pct"/>
            <w:vMerge w:val="continue"/>
            <w:vAlign w:val="center"/>
          </w:tcPr>
          <w:p>
            <w:pPr>
              <w:widowControl/>
              <w:ind w:firstLine="420"/>
              <w:jc w:val="center"/>
              <w:rPr>
                <w:rFonts w:asciiTheme="minorEastAsia" w:hAnsiTheme="minorEastAsia" w:eastAsiaTheme="minorEastAsia" w:cstheme="minorEastAsia"/>
                <w:highlight w:val="none"/>
              </w:rPr>
            </w:pPr>
          </w:p>
        </w:tc>
        <w:tc>
          <w:tcPr>
            <w:tcW w:w="421" w:type="pct"/>
            <w:vMerge w:val="continue"/>
            <w:vAlign w:val="center"/>
          </w:tcPr>
          <w:p>
            <w:pPr>
              <w:widowControl/>
              <w:ind w:firstLine="420"/>
              <w:jc w:val="center"/>
              <w:rPr>
                <w:rFonts w:asciiTheme="minorEastAsia" w:hAnsiTheme="minorEastAsia" w:eastAsiaTheme="minorEastAsia" w:cstheme="minorEastAsia"/>
                <w:highlight w:val="none"/>
              </w:rPr>
            </w:pPr>
          </w:p>
        </w:tc>
        <w:tc>
          <w:tcPr>
            <w:tcW w:w="538" w:type="pct"/>
            <w:vMerge w:val="continue"/>
            <w:tcBorders>
              <w:right w:val="single" w:color="000000" w:sz="12" w:space="0"/>
            </w:tcBorders>
            <w:vAlign w:val="center"/>
          </w:tcPr>
          <w:p>
            <w:pPr>
              <w:widowControl/>
              <w:ind w:firstLine="420"/>
              <w:jc w:val="center"/>
              <w:rPr>
                <w:rFonts w:asciiTheme="minorEastAsia" w:hAnsiTheme="minorEastAsia" w:eastAsiaTheme="minorEastAsia" w:cstheme="minorEastAsia"/>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5000" w:type="pct"/>
            <w:gridSpan w:val="10"/>
            <w:tcBorders>
              <w:left w:val="single" w:color="000000" w:sz="12" w:space="0"/>
              <w:bottom w:val="single" w:color="000000" w:sz="12" w:space="0"/>
              <w:right w:val="single" w:color="000000" w:sz="12" w:space="0"/>
            </w:tcBorders>
            <w:vAlign w:val="center"/>
          </w:tcPr>
          <w:p>
            <w:pPr>
              <w:widowControl/>
              <w:ind w:firstLine="320" w:firstLineChars="200"/>
              <w:rPr>
                <w:rFonts w:asciiTheme="minorEastAsia" w:hAnsiTheme="minorEastAsia" w:eastAsiaTheme="minorEastAsia" w:cstheme="minorEastAsia"/>
                <w:highlight w:val="none"/>
              </w:rPr>
            </w:pPr>
            <w:r>
              <w:rPr>
                <w:rFonts w:hint="eastAsia" w:ascii="Times New Roman" w:hAnsi="Times New Roman" w:eastAsia="宋体" w:cs="Times New Roman"/>
                <w:sz w:val="15"/>
                <w:szCs w:val="15"/>
                <w:highlight w:val="none"/>
              </w:rPr>
              <w:t>注：本车型为运输不可拆解物体的挂车</w:t>
            </w:r>
          </w:p>
        </w:tc>
      </w:tr>
    </w:tbl>
    <w:p>
      <w:pPr>
        <w:spacing w:before="240" w:beforeLines="100"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采用低平板半挂车运输预制混凝土构件时，应满足（JT/T 1284-2020）表7</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3</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3</w:t>
      </w:r>
      <w:r>
        <w:rPr>
          <w:rFonts w:hint="eastAsia" w:cs="Times New Roman"/>
          <w:szCs w:val="21"/>
          <w:highlight w:val="none"/>
          <w:lang w:val="en-US" w:eastAsia="zh-CN"/>
        </w:rPr>
        <w:t>（1）</w:t>
      </w:r>
      <w:r>
        <w:rPr>
          <w:rFonts w:hint="eastAsia" w:ascii="Times New Roman" w:hAnsi="Times New Roman" w:eastAsia="宋体" w:cs="Times New Roman"/>
          <w:szCs w:val="21"/>
          <w:highlight w:val="none"/>
        </w:rPr>
        <w:t>和表7</w:t>
      </w:r>
      <w:r>
        <w:rPr>
          <w:rFonts w:hint="eastAsia" w:ascii="宋体" w:hAnsi="宋体" w:eastAsia="宋体" w:cs="宋体"/>
          <w:szCs w:val="21"/>
          <w:highlight w:val="none"/>
        </w:rPr>
        <w:t>.</w:t>
      </w:r>
      <w:r>
        <w:rPr>
          <w:rFonts w:hint="eastAsia" w:ascii="Times New Roman" w:hAnsi="Times New Roman" w:eastAsia="宋体" w:cs="Times New Roman"/>
          <w:szCs w:val="21"/>
          <w:highlight w:val="none"/>
        </w:rPr>
        <w:t>3</w:t>
      </w:r>
      <w:r>
        <w:rPr>
          <w:rFonts w:hint="eastAsia" w:ascii="宋体" w:hAnsi="宋体" w:eastAsia="宋体" w:cs="宋体"/>
          <w:szCs w:val="21"/>
          <w:highlight w:val="none"/>
        </w:rPr>
        <w:t>.</w:t>
      </w:r>
      <w:r>
        <w:rPr>
          <w:rFonts w:hint="eastAsia" w:ascii="Times New Roman" w:hAnsi="Times New Roman" w:eastAsia="宋体" w:cs="Times New Roman"/>
          <w:szCs w:val="21"/>
          <w:highlight w:val="none"/>
          <w:lang w:val="en-US" w:eastAsia="zh-CN"/>
        </w:rPr>
        <w:t>3</w:t>
      </w:r>
      <w:r>
        <w:rPr>
          <w:rFonts w:hint="eastAsia" w:cs="Times New Roman"/>
          <w:szCs w:val="21"/>
          <w:highlight w:val="none"/>
          <w:lang w:val="en-US" w:eastAsia="zh-CN"/>
        </w:rPr>
        <w:t>（2）</w:t>
      </w:r>
      <w:r>
        <w:rPr>
          <w:rFonts w:hint="eastAsia" w:ascii="Times New Roman" w:hAnsi="Times New Roman" w:eastAsia="宋体" w:cs="Times New Roman"/>
          <w:szCs w:val="21"/>
          <w:highlight w:val="none"/>
        </w:rPr>
        <w:t>所规定的参数。</w:t>
      </w: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7</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Times New Roman" w:hAnsi="Times New Roman" w:eastAsia="黑体" w:cs="Times New Roman"/>
          <w:b w:val="0"/>
          <w:bCs w:val="0"/>
          <w:sz w:val="18"/>
          <w:szCs w:val="18"/>
          <w:highlight w:val="none"/>
          <w:lang w:eastAsia="zh-CN"/>
        </w:rPr>
        <w:t>（</w:t>
      </w:r>
      <w:r>
        <w:rPr>
          <w:rFonts w:hint="eastAsia" w:ascii="Times New Roman" w:hAnsi="Times New Roman" w:eastAsia="黑体" w:cs="Times New Roman"/>
          <w:b/>
          <w:bCs/>
          <w:sz w:val="18"/>
          <w:szCs w:val="18"/>
          <w:highlight w:val="none"/>
          <w:lang w:val="en-US" w:eastAsia="zh-CN"/>
        </w:rPr>
        <w:t>1</w:t>
      </w:r>
      <w:r>
        <w:rPr>
          <w:rFonts w:hint="default" w:ascii="Times New Roman" w:hAnsi="Times New Roman" w:eastAsia="黑体" w:cs="Times New Roman"/>
          <w:b w:val="0"/>
          <w:bCs w:val="0"/>
          <w:sz w:val="18"/>
          <w:szCs w:val="18"/>
          <w:highlight w:val="none"/>
          <w:lang w:eastAsia="zh-CN"/>
        </w:rPr>
        <w:t>）</w:t>
      </w:r>
      <w:r>
        <w:rPr>
          <w:rFonts w:hint="eastAsia" w:ascii="黑体" w:hAnsi="黑体" w:eastAsia="黑体" w:cs="黑体"/>
          <w:sz w:val="18"/>
          <w:szCs w:val="18"/>
          <w:highlight w:val="none"/>
        </w:rPr>
        <w:t xml:space="preserve"> </w:t>
      </w:r>
      <w:r>
        <w:rPr>
          <w:rFonts w:hint="eastAsia" w:ascii="黑体" w:hAnsi="黑体" w:eastAsia="黑体" w:cs="黑体"/>
          <w:sz w:val="18"/>
          <w:szCs w:val="18"/>
          <w:highlight w:val="none"/>
          <w:lang w:val="en-US" w:eastAsia="zh-CN"/>
        </w:rPr>
        <w:t xml:space="preserve"> </w:t>
      </w:r>
      <w:r>
        <w:rPr>
          <w:rFonts w:hint="eastAsia" w:ascii="黑体" w:hAnsi="黑体" w:eastAsia="黑体" w:cs="黑体"/>
          <w:sz w:val="18"/>
          <w:szCs w:val="18"/>
          <w:highlight w:val="none"/>
        </w:rPr>
        <w:t>低平板半挂车尺寸参数</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2321"/>
        <w:gridCol w:w="1323"/>
        <w:gridCol w:w="2695"/>
        <w:gridCol w:w="128"/>
        <w:gridCol w:w="2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961" w:type="pct"/>
            <w:gridSpan w:val="2"/>
            <w:tcBorders>
              <w:top w:val="single" w:color="000000" w:sz="12" w:space="0"/>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项目</w:t>
            </w:r>
          </w:p>
        </w:tc>
        <w:tc>
          <w:tcPr>
            <w:tcW w:w="1450" w:type="pc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低平板专用半挂车</w:t>
            </w:r>
          </w:p>
        </w:tc>
        <w:tc>
          <w:tcPr>
            <w:tcW w:w="1588" w:type="pct"/>
            <w:gridSpan w:val="2"/>
            <w:tcBorders>
              <w:top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低平板增强型半挂车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249" w:type="pct"/>
            <w:vMerge w:val="restar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外廓尺寸</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（mm）</w:t>
            </w:r>
          </w:p>
        </w:tc>
        <w:tc>
          <w:tcPr>
            <w:tcW w:w="711"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长</w:t>
            </w:r>
          </w:p>
        </w:tc>
        <w:tc>
          <w:tcPr>
            <w:tcW w:w="1450"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≤13 750</w:t>
            </w:r>
          </w:p>
        </w:tc>
        <w:tc>
          <w:tcPr>
            <w:tcW w:w="1588" w:type="pct"/>
            <w:gridSpan w:val="2"/>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≤13 750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249" w:type="pct"/>
            <w:vMerge w:val="continue"/>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711"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宽</w:t>
            </w:r>
          </w:p>
        </w:tc>
        <w:tc>
          <w:tcPr>
            <w:tcW w:w="1450"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≤3 000</w:t>
            </w:r>
          </w:p>
        </w:tc>
        <w:tc>
          <w:tcPr>
            <w:tcW w:w="1588" w:type="pct"/>
            <w:gridSpan w:val="2"/>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≤3 000（3 400</w:t>
            </w:r>
            <w:r>
              <w:rPr>
                <w:rFonts w:hint="eastAsia" w:ascii="Times New Roman" w:hAnsi="Times New Roman" w:eastAsia="宋体" w:cs="Times New Roman"/>
                <w:sz w:val="15"/>
                <w:szCs w:val="15"/>
                <w:highlight w:val="none"/>
                <w:vertAlign w:val="superscript"/>
              </w:rPr>
              <w:t>a</w:t>
            </w:r>
            <w:r>
              <w:rPr>
                <w:rFonts w:hint="eastAsia" w:ascii="Times New Roman" w:hAnsi="Times New Roman" w:eastAsia="宋体" w:cs="Times New Roman"/>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49" w:type="pct"/>
            <w:vMerge w:val="continue"/>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711"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高</w:t>
            </w:r>
          </w:p>
        </w:tc>
        <w:tc>
          <w:tcPr>
            <w:tcW w:w="1450"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≤4 000</w:t>
            </w:r>
          </w:p>
        </w:tc>
        <w:tc>
          <w:tcPr>
            <w:tcW w:w="1588" w:type="pct"/>
            <w:gridSpan w:val="2"/>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961" w:type="pct"/>
            <w:gridSpan w:val="2"/>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承载面离地高度（mm）</w:t>
            </w:r>
          </w:p>
        </w:tc>
        <w:tc>
          <w:tcPr>
            <w:tcW w:w="3038" w:type="pct"/>
            <w:gridSpan w:val="3"/>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≤1 150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961" w:type="pct"/>
            <w:gridSpan w:val="2"/>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爬梯宽度（mm）</w:t>
            </w:r>
          </w:p>
        </w:tc>
        <w:tc>
          <w:tcPr>
            <w:tcW w:w="3038" w:type="pct"/>
            <w:gridSpan w:val="3"/>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961" w:type="pct"/>
            <w:gridSpan w:val="2"/>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爬梯与地面夹角（</w:t>
            </w:r>
            <w:r>
              <w:rPr>
                <w:rFonts w:hint="default" w:ascii="Times New Roman" w:hAnsi="Times New Roman" w:eastAsia="宋体" w:cs="Times New Roman"/>
                <w:sz w:val="15"/>
                <w:szCs w:val="15"/>
                <w:highlight w:val="none"/>
                <w:vertAlign w:val="baseline"/>
              </w:rPr>
              <w:t>°</w:t>
            </w:r>
            <w:r>
              <w:rPr>
                <w:rFonts w:hint="eastAsia" w:ascii="Times New Roman" w:hAnsi="Times New Roman" w:eastAsia="宋体" w:cs="Times New Roman"/>
                <w:sz w:val="15"/>
                <w:szCs w:val="15"/>
                <w:highlight w:val="none"/>
              </w:rPr>
              <w:t>）</w:t>
            </w:r>
          </w:p>
        </w:tc>
        <w:tc>
          <w:tcPr>
            <w:tcW w:w="3038" w:type="pct"/>
            <w:gridSpan w:val="3"/>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61" w:type="pct"/>
            <w:gridSpan w:val="2"/>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通道圆和外摆值</w:t>
            </w:r>
          </w:p>
        </w:tc>
        <w:tc>
          <w:tcPr>
            <w:tcW w:w="1519" w:type="pct"/>
            <w:gridSpan w:val="2"/>
            <w:vAlign w:val="center"/>
          </w:tcPr>
          <w:p>
            <w:pPr>
              <w:spacing w:line="240" w:lineRule="auto"/>
              <w:jc w:val="center"/>
              <w:rPr>
                <w:rFonts w:hint="eastAsia" w:ascii="Times New Roman" w:hAnsi="Times New Roman" w:eastAsia="宋体" w:cs="Times New Roman"/>
                <w:sz w:val="15"/>
                <w:szCs w:val="15"/>
                <w:highlight w:val="none"/>
                <w:lang w:val="en-US" w:eastAsia="zh-CN"/>
              </w:rPr>
            </w:pPr>
            <w:r>
              <w:rPr>
                <w:rFonts w:hint="eastAsia" w:ascii="Times New Roman" w:hAnsi="Times New Roman" w:eastAsia="宋体" w:cs="Times New Roman"/>
                <w:sz w:val="15"/>
                <w:szCs w:val="15"/>
                <w:highlight w:val="none"/>
              </w:rPr>
              <w:t>符合GB 1589要求</w:t>
            </w:r>
          </w:p>
        </w:tc>
        <w:tc>
          <w:tcPr>
            <w:tcW w:w="1519" w:type="pct"/>
            <w:tcBorders>
              <w:top w:val="single" w:color="auto" w:sz="4" w:space="0"/>
              <w:left w:val="single" w:color="auto" w:sz="4" w:space="0"/>
              <w:bottom w:val="single" w:color="auto" w:sz="4"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符合GB 1589要求</w:t>
            </w:r>
            <w:r>
              <w:rPr>
                <w:rFonts w:hint="eastAsia" w:ascii="Times New Roman" w:hAnsi="Times New Roman" w:eastAsia="宋体" w:cs="Times New Roman"/>
                <w:sz w:val="15"/>
                <w:szCs w:val="15"/>
                <w:highlight w:val="none"/>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1961" w:type="pct"/>
            <w:gridSpan w:val="2"/>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牵引销中心轴线到车辆长度</w:t>
            </w:r>
          </w:p>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最后端的水平距离</w:t>
            </w:r>
          </w:p>
        </w:tc>
        <w:tc>
          <w:tcPr>
            <w:tcW w:w="3038" w:type="pct"/>
            <w:gridSpan w:val="3"/>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符合GB 1589要求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5000" w:type="pct"/>
            <w:gridSpan w:val="5"/>
            <w:tcBorders>
              <w:left w:val="single" w:color="000000" w:sz="12" w:space="0"/>
              <w:bottom w:val="single" w:color="000000" w:sz="12" w:space="0"/>
              <w:right w:val="single" w:color="000000" w:sz="12" w:space="0"/>
            </w:tcBorders>
            <w:vAlign w:val="center"/>
          </w:tcPr>
          <w:p>
            <w:pPr>
              <w:spacing w:line="240" w:lineRule="auto"/>
              <w:ind w:firstLine="320" w:firstLineChars="200"/>
              <w:jc w:val="both"/>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a拓展后状态。</w:t>
            </w:r>
          </w:p>
          <w:p>
            <w:pPr>
              <w:spacing w:line="240" w:lineRule="auto"/>
              <w:ind w:firstLine="320" w:firstLineChars="200"/>
              <w:jc w:val="both"/>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b拓展状态除外。</w:t>
            </w:r>
          </w:p>
        </w:tc>
      </w:tr>
    </w:tbl>
    <w:p>
      <w:pPr>
        <w:keepNext w:val="0"/>
        <w:keepLines w:val="0"/>
        <w:pageBreakBefore w:val="0"/>
        <w:widowControl w:val="0"/>
        <w:kinsoku/>
        <w:wordWrap/>
        <w:overflowPunct/>
        <w:topLinePunct w:val="0"/>
        <w:autoSpaceDE/>
        <w:autoSpaceDN/>
        <w:bidi w:val="0"/>
        <w:adjustRightInd/>
        <w:snapToGrid/>
        <w:spacing w:before="334" w:beforeLines="100" w:line="240" w:lineRule="auto"/>
        <w:ind w:firstLine="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7</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Times New Roman" w:hAnsi="Times New Roman" w:eastAsia="黑体" w:cs="Times New Roman"/>
          <w:b w:val="0"/>
          <w:bCs w:val="0"/>
          <w:sz w:val="18"/>
          <w:szCs w:val="18"/>
          <w:highlight w:val="none"/>
          <w:lang w:eastAsia="zh-CN"/>
        </w:rPr>
        <w:t>（</w:t>
      </w:r>
      <w:r>
        <w:rPr>
          <w:rFonts w:hint="eastAsia" w:ascii="Times New Roman" w:hAnsi="Times New Roman" w:eastAsia="黑体" w:cs="Times New Roman"/>
          <w:b/>
          <w:bCs/>
          <w:sz w:val="18"/>
          <w:szCs w:val="18"/>
          <w:highlight w:val="none"/>
          <w:lang w:val="en-US" w:eastAsia="zh-CN"/>
        </w:rPr>
        <w:t>2</w:t>
      </w:r>
      <w:r>
        <w:rPr>
          <w:rFonts w:hint="eastAsia" w:ascii="Times New Roman" w:hAnsi="Times New Roman" w:eastAsia="黑体" w:cs="Times New Roman"/>
          <w:b w:val="0"/>
          <w:bCs w:val="0"/>
          <w:sz w:val="18"/>
          <w:szCs w:val="18"/>
          <w:highlight w:val="none"/>
          <w:lang w:eastAsia="zh-CN"/>
        </w:rPr>
        <w:t>）</w:t>
      </w:r>
      <w:r>
        <w:rPr>
          <w:rFonts w:hint="eastAsia" w:ascii="黑体" w:hAnsi="黑体" w:eastAsia="黑体" w:cs="黑体"/>
          <w:sz w:val="18"/>
          <w:szCs w:val="18"/>
          <w:highlight w:val="none"/>
        </w:rPr>
        <w:t xml:space="preserve">  低平板半挂车质量参数（单位为千克）</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857"/>
        <w:gridCol w:w="2262"/>
        <w:gridCol w:w="1453"/>
        <w:gridCol w:w="1858"/>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999" w:type="pct"/>
            <w:vMerge w:val="restart"/>
            <w:tcBorders>
              <w:top w:val="single" w:color="000000" w:sz="12" w:space="0"/>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项目</w:t>
            </w:r>
          </w:p>
        </w:tc>
        <w:tc>
          <w:tcPr>
            <w:tcW w:w="1217" w:type="pc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低平板专用半挂车</w:t>
            </w:r>
          </w:p>
        </w:tc>
        <w:tc>
          <w:tcPr>
            <w:tcW w:w="2783" w:type="pct"/>
            <w:gridSpan w:val="3"/>
            <w:tcBorders>
              <w:top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低平板增强型半挂车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999" w:type="pct"/>
            <w:vMerge w:val="continue"/>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1217" w:type="pct"/>
            <w:vMerge w:val="restar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三轴</w:t>
            </w:r>
          </w:p>
        </w:tc>
        <w:tc>
          <w:tcPr>
            <w:tcW w:w="782" w:type="pct"/>
            <w:vMerge w:val="restar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三轴</w:t>
            </w:r>
          </w:p>
        </w:tc>
        <w:tc>
          <w:tcPr>
            <w:tcW w:w="2000" w:type="pct"/>
            <w:gridSpan w:val="2"/>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可变五轴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999" w:type="pct"/>
            <w:vMerge w:val="continue"/>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p>
        </w:tc>
        <w:tc>
          <w:tcPr>
            <w:tcW w:w="1217" w:type="pct"/>
            <w:vMerge w:val="continue"/>
            <w:vAlign w:val="center"/>
          </w:tcPr>
          <w:p>
            <w:pPr>
              <w:spacing w:line="240" w:lineRule="auto"/>
              <w:jc w:val="center"/>
              <w:rPr>
                <w:rFonts w:hint="eastAsia" w:ascii="Times New Roman" w:hAnsi="Times New Roman" w:eastAsia="宋体" w:cs="Times New Roman"/>
                <w:sz w:val="15"/>
                <w:szCs w:val="15"/>
                <w:highlight w:val="none"/>
              </w:rPr>
            </w:pPr>
          </w:p>
        </w:tc>
        <w:tc>
          <w:tcPr>
            <w:tcW w:w="782" w:type="pct"/>
            <w:vMerge w:val="continue"/>
            <w:vAlign w:val="center"/>
          </w:tcPr>
          <w:p>
            <w:pPr>
              <w:spacing w:line="240" w:lineRule="auto"/>
              <w:jc w:val="center"/>
              <w:rPr>
                <w:rFonts w:hint="eastAsia" w:ascii="Times New Roman" w:hAnsi="Times New Roman" w:eastAsia="宋体" w:cs="Times New Roman"/>
                <w:sz w:val="15"/>
                <w:szCs w:val="15"/>
                <w:highlight w:val="none"/>
              </w:rPr>
            </w:pPr>
          </w:p>
        </w:tc>
        <w:tc>
          <w:tcPr>
            <w:tcW w:w="1000"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三轴状态</w:t>
            </w:r>
          </w:p>
        </w:tc>
        <w:tc>
          <w:tcPr>
            <w:tcW w:w="1000" w:type="pct"/>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五轴状态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9" w:type="pct"/>
            <w:tcBorders>
              <w:left w:val="single" w:color="000000" w:sz="12" w:space="0"/>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装备质量</w:t>
            </w:r>
          </w:p>
        </w:tc>
        <w:tc>
          <w:tcPr>
            <w:tcW w:w="1217" w:type="pct"/>
            <w:tcBorders>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≤10 000</w:t>
            </w:r>
          </w:p>
        </w:tc>
        <w:tc>
          <w:tcPr>
            <w:tcW w:w="782" w:type="pct"/>
            <w:tcBorders>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≤11 000</w:t>
            </w:r>
          </w:p>
        </w:tc>
        <w:tc>
          <w:tcPr>
            <w:tcW w:w="1000" w:type="pct"/>
            <w:tcBorders>
              <w:bottom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≤11 000</w:t>
            </w:r>
          </w:p>
        </w:tc>
        <w:tc>
          <w:tcPr>
            <w:tcW w:w="1000" w:type="pct"/>
            <w:tcBorders>
              <w:bottom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≤13 000</w:t>
            </w:r>
          </w:p>
        </w:tc>
      </w:tr>
    </w:tbl>
    <w:p>
      <w:pPr>
        <w:keepNext w:val="0"/>
        <w:keepLines w:val="0"/>
        <w:pageBreakBefore w:val="0"/>
        <w:widowControl w:val="0"/>
        <w:kinsoku/>
        <w:wordWrap/>
        <w:overflowPunct/>
        <w:topLinePunct w:val="0"/>
        <w:autoSpaceDE/>
        <w:autoSpaceDN/>
        <w:bidi w:val="0"/>
        <w:adjustRightInd/>
        <w:snapToGrid/>
        <w:spacing w:before="334" w:beforeLines="100" w:line="240" w:lineRule="auto"/>
        <w:ind w:firstLine="0"/>
        <w:jc w:val="center"/>
        <w:textAlignment w:val="auto"/>
        <w:rPr>
          <w:rFonts w:hint="eastAsia" w:ascii="黑体" w:hAnsi="黑体" w:eastAsia="黑体" w:cs="黑体"/>
          <w:b/>
          <w:bCs/>
          <w:sz w:val="18"/>
          <w:szCs w:val="18"/>
          <w:highlight w:val="none"/>
        </w:rPr>
      </w:pPr>
      <w:r>
        <w:rPr>
          <w:rFonts w:hint="eastAsia" w:ascii="黑体" w:hAnsi="黑体" w:eastAsia="黑体" w:cs="黑体"/>
          <w:sz w:val="18"/>
          <w:szCs w:val="18"/>
          <w:highlight w:val="none"/>
          <w:lang w:val="en-US" w:eastAsia="zh-CN"/>
        </w:rPr>
        <w:t>续</w:t>
      </w:r>
      <w:r>
        <w:rPr>
          <w:rFonts w:hint="eastAsia" w:ascii="黑体" w:hAnsi="黑体" w:eastAsia="黑体" w:cs="黑体"/>
          <w:sz w:val="18"/>
          <w:szCs w:val="18"/>
          <w:highlight w:val="none"/>
        </w:rPr>
        <w:t>表</w:t>
      </w:r>
      <w:r>
        <w:rPr>
          <w:rFonts w:hint="default" w:ascii="Times New Roman" w:hAnsi="Times New Roman" w:eastAsia="黑体" w:cs="Times New Roman"/>
          <w:b/>
          <w:bCs/>
          <w:sz w:val="18"/>
          <w:szCs w:val="18"/>
          <w:highlight w:val="none"/>
        </w:rPr>
        <w:t>7</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宋体" w:hAnsi="宋体" w:eastAsia="宋体" w:cs="宋体"/>
          <w:b/>
          <w:bCs/>
          <w:sz w:val="18"/>
          <w:szCs w:val="18"/>
          <w:highlight w:val="none"/>
        </w:rPr>
        <w:t>.</w:t>
      </w:r>
      <w:r>
        <w:rPr>
          <w:rFonts w:hint="default" w:ascii="Times New Roman" w:hAnsi="Times New Roman" w:eastAsia="黑体" w:cs="Times New Roman"/>
          <w:b/>
          <w:bCs/>
          <w:sz w:val="18"/>
          <w:szCs w:val="18"/>
          <w:highlight w:val="none"/>
        </w:rPr>
        <w:t>3</w:t>
      </w:r>
      <w:r>
        <w:rPr>
          <w:rFonts w:hint="eastAsia" w:ascii="Times New Roman" w:hAnsi="Times New Roman" w:eastAsia="黑体" w:cs="Times New Roman"/>
          <w:b w:val="0"/>
          <w:bCs w:val="0"/>
          <w:sz w:val="18"/>
          <w:szCs w:val="18"/>
          <w:highlight w:val="none"/>
          <w:lang w:eastAsia="zh-CN"/>
        </w:rPr>
        <w:t>（</w:t>
      </w:r>
      <w:r>
        <w:rPr>
          <w:rFonts w:hint="eastAsia" w:ascii="Times New Roman" w:hAnsi="Times New Roman" w:eastAsia="黑体" w:cs="Times New Roman"/>
          <w:b/>
          <w:bCs/>
          <w:sz w:val="18"/>
          <w:szCs w:val="18"/>
          <w:highlight w:val="none"/>
          <w:lang w:val="en-US" w:eastAsia="zh-CN"/>
        </w:rPr>
        <w:t>2</w:t>
      </w:r>
      <w:r>
        <w:rPr>
          <w:rFonts w:hint="eastAsia" w:ascii="Times New Roman" w:hAnsi="Times New Roman" w:eastAsia="黑体" w:cs="Times New Roman"/>
          <w:b w:val="0"/>
          <w:bCs w:val="0"/>
          <w:sz w:val="18"/>
          <w:szCs w:val="18"/>
          <w:highlight w:val="none"/>
          <w:lang w:eastAsia="zh-CN"/>
        </w:rPr>
        <w:t>）</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1856"/>
        <w:gridCol w:w="2261"/>
        <w:gridCol w:w="1453"/>
        <w:gridCol w:w="18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999" w:type="pct"/>
            <w:tcBorders>
              <w:top w:val="single" w:color="000000" w:sz="12" w:space="0"/>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装载质量</w:t>
            </w:r>
          </w:p>
        </w:tc>
        <w:tc>
          <w:tcPr>
            <w:tcW w:w="1217" w:type="pc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w:t>
            </w:r>
          </w:p>
        </w:tc>
        <w:tc>
          <w:tcPr>
            <w:tcW w:w="782" w:type="pc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≥42 000</w:t>
            </w:r>
          </w:p>
        </w:tc>
        <w:tc>
          <w:tcPr>
            <w:tcW w:w="1000" w:type="pct"/>
            <w:tcBorders>
              <w:top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≥42 000</w:t>
            </w:r>
          </w:p>
        </w:tc>
        <w:tc>
          <w:tcPr>
            <w:tcW w:w="1000" w:type="pct"/>
            <w:tcBorders>
              <w:top w:val="single" w:color="000000" w:sz="12" w:space="0"/>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≥55 000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999"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最大允许总质量</w:t>
            </w:r>
          </w:p>
        </w:tc>
        <w:tc>
          <w:tcPr>
            <w:tcW w:w="1217"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符合GB 1589要求</w:t>
            </w:r>
          </w:p>
        </w:tc>
        <w:tc>
          <w:tcPr>
            <w:tcW w:w="2783" w:type="pct"/>
            <w:gridSpan w:val="3"/>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jc w:val="center"/>
        </w:trPr>
        <w:tc>
          <w:tcPr>
            <w:tcW w:w="999" w:type="pct"/>
            <w:tcBorders>
              <w:lef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轴荷</w:t>
            </w:r>
          </w:p>
        </w:tc>
        <w:tc>
          <w:tcPr>
            <w:tcW w:w="1217" w:type="pct"/>
            <w:vAlign w:val="center"/>
          </w:tcPr>
          <w:p>
            <w:pPr>
              <w:spacing w:line="240" w:lineRule="auto"/>
              <w:jc w:val="center"/>
              <w:rPr>
                <w:rFonts w:hint="eastAsia" w:ascii="Times New Roman" w:hAnsi="Times New Roman" w:eastAsia="宋体" w:cs="Times New Roman"/>
                <w:sz w:val="15"/>
                <w:szCs w:val="15"/>
                <w:highlight w:val="none"/>
              </w:rPr>
            </w:pPr>
            <w:r>
              <w:rPr>
                <w:rFonts w:hint="eastAsia" w:ascii="Times New Roman" w:hAnsi="Times New Roman" w:eastAsia="宋体" w:cs="Times New Roman"/>
                <w:sz w:val="15"/>
                <w:szCs w:val="15"/>
                <w:highlight w:val="none"/>
              </w:rPr>
              <w:t>符合GB 1589要求</w:t>
            </w:r>
          </w:p>
        </w:tc>
        <w:tc>
          <w:tcPr>
            <w:tcW w:w="2783" w:type="pct"/>
            <w:gridSpan w:val="3"/>
            <w:tcBorders>
              <w:right w:val="single" w:color="000000" w:sz="12" w:space="0"/>
            </w:tcBorders>
            <w:vAlign w:val="center"/>
          </w:tcPr>
          <w:p>
            <w:pPr>
              <w:spacing w:line="240" w:lineRule="auto"/>
              <w:jc w:val="center"/>
              <w:rPr>
                <w:rFonts w:hint="eastAsia" w:ascii="Times New Roman" w:hAnsi="Times New Roman" w:eastAsia="宋体" w:cs="Times New Roman"/>
                <w:sz w:val="15"/>
                <w:szCs w:val="15"/>
                <w:highlight w:val="none"/>
                <w:vertAlign w:val="superscript"/>
                <w:lang w:val="en-US" w:eastAsia="zh-CN"/>
              </w:rPr>
            </w:pPr>
            <w:r>
              <w:rPr>
                <w:rFonts w:hint="eastAsia" w:ascii="Times New Roman" w:hAnsi="Times New Roman" w:eastAsia="宋体" w:cs="Times New Roman"/>
                <w:sz w:val="15"/>
                <w:szCs w:val="15"/>
                <w:highlight w:val="none"/>
              </w:rPr>
              <w:t>≤13 000</w:t>
            </w:r>
            <w:r>
              <w:rPr>
                <w:rFonts w:hint="eastAsia" w:cs="Times New Roman"/>
                <w:sz w:val="15"/>
                <w:szCs w:val="15"/>
                <w:highlight w:val="none"/>
                <w:vertAlign w:val="superscript"/>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gridSpan w:val="5"/>
            <w:tcBorders>
              <w:left w:val="single" w:color="000000" w:sz="12" w:space="0"/>
              <w:bottom w:val="single" w:color="000000" w:sz="12" w:space="0"/>
              <w:right w:val="single" w:color="000000" w:sz="12" w:space="0"/>
            </w:tcBorders>
            <w:vAlign w:val="center"/>
          </w:tcPr>
          <w:p>
            <w:pPr>
              <w:spacing w:line="240" w:lineRule="auto"/>
              <w:ind w:firstLine="320" w:firstLineChars="200"/>
              <w:jc w:val="both"/>
              <w:rPr>
                <w:rFonts w:hint="eastAsia" w:ascii="Times New Roman" w:hAnsi="Times New Roman" w:eastAsia="宋体" w:cs="Times New Roman"/>
                <w:sz w:val="15"/>
                <w:szCs w:val="15"/>
                <w:highlight w:val="none"/>
                <w:lang w:eastAsia="zh-CN"/>
              </w:rPr>
            </w:pPr>
            <w:r>
              <w:rPr>
                <w:rFonts w:hint="eastAsia" w:ascii="Times New Roman" w:hAnsi="Times New Roman" w:eastAsia="宋体" w:cs="Times New Roman"/>
                <w:sz w:val="15"/>
                <w:szCs w:val="15"/>
                <w:highlight w:val="none"/>
              </w:rPr>
              <w:t>a单轴轴荷</w:t>
            </w:r>
            <w:r>
              <w:rPr>
                <w:rFonts w:hint="eastAsia" w:cs="Times New Roman"/>
                <w:sz w:val="15"/>
                <w:szCs w:val="15"/>
                <w:highlight w:val="none"/>
                <w:lang w:eastAsia="zh-CN"/>
              </w:rPr>
              <w:t>。</w:t>
            </w:r>
          </w:p>
        </w:tc>
      </w:tr>
    </w:tbl>
    <w:p>
      <w:pPr>
        <w:spacing w:before="240" w:beforeLines="100"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Times New Roman" w:hAnsi="Times New Roman" w:eastAsia="宋体" w:cs="Times New Roman"/>
          <w:szCs w:val="21"/>
          <w:highlight w:val="none"/>
        </w:rPr>
        <w:t xml:space="preserve">  运输使用的半挂平板择选应考虑以下几点：</w:t>
      </w:r>
    </w:p>
    <w:p>
      <w:pPr>
        <w:widowControl/>
        <w:spacing w:line="240" w:lineRule="auto"/>
        <w:ind w:firstLine="440" w:firstLineChars="200"/>
        <w:jc w:val="left"/>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全车加预制混凝土构件总重≤50吨；</w:t>
      </w:r>
    </w:p>
    <w:p>
      <w:pPr>
        <w:widowControl/>
        <w:spacing w:line="240" w:lineRule="auto"/>
        <w:ind w:firstLine="440" w:firstLineChars="200"/>
        <w:jc w:val="left"/>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根据道路限高的道路交通要求，进行半挂平板的选择；</w:t>
      </w:r>
    </w:p>
    <w:p>
      <w:pPr>
        <w:widowControl/>
        <w:spacing w:line="240" w:lineRule="auto"/>
        <w:ind w:firstLine="440" w:firstLineChars="200"/>
        <w:jc w:val="left"/>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车辆运输挂车系列中总长度小于等于16米，与牵引车组成的汽车列车总长度应符合现行国家标准GB</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1589相关要求。</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399" w:name="_Toc154586196"/>
      <w:bookmarkStart w:id="400" w:name="_Toc153205502"/>
      <w:bookmarkStart w:id="401" w:name="_Toc20691"/>
      <w:bookmarkStart w:id="402" w:name="_Toc2519"/>
      <w:bookmarkStart w:id="403" w:name="_Toc20270"/>
      <w:r>
        <w:rPr>
          <w:rFonts w:hint="eastAsia" w:ascii="Times New Roman" w:hAnsi="Times New Roman" w:eastAsia="黑体" w:cs="Times New Roman"/>
          <w:b/>
          <w:bCs w:val="0"/>
          <w:sz w:val="21"/>
          <w:szCs w:val="21"/>
          <w:highlight w:val="none"/>
          <w:lang w:val="en-US" w:eastAsia="zh-CN"/>
        </w:rPr>
        <w:t>7</w:t>
      </w:r>
      <w:r>
        <w:rPr>
          <w:rFonts w:hint="eastAsia" w:ascii="宋体" w:hAnsi="宋体" w:eastAsia="宋体" w:cs="宋体"/>
          <w:b/>
          <w:bCs w:val="0"/>
          <w:sz w:val="21"/>
          <w:szCs w:val="21"/>
          <w:highlight w:val="none"/>
          <w:lang w:val="en-US" w:eastAsia="zh-CN"/>
        </w:rPr>
        <w:t>.</w:t>
      </w:r>
      <w:r>
        <w:rPr>
          <w:rFonts w:hint="eastAsia" w:ascii="Times New Roman" w:hAnsi="Times New Roman" w:eastAsia="黑体" w:cs="Times New Roman"/>
          <w:b/>
          <w:bCs w:val="0"/>
          <w:sz w:val="21"/>
          <w:szCs w:val="21"/>
          <w:highlight w:val="none"/>
          <w:lang w:val="en-US" w:eastAsia="zh-CN"/>
        </w:rPr>
        <w:t>4</w:t>
      </w:r>
      <w:r>
        <w:rPr>
          <w:rFonts w:hint="eastAsia" w:ascii="黑体" w:hAnsi="黑体" w:eastAsia="黑体"/>
          <w:b w:val="0"/>
          <w:sz w:val="21"/>
          <w:szCs w:val="21"/>
          <w:highlight w:val="none"/>
          <w:lang w:val="en-US" w:eastAsia="zh-CN"/>
        </w:rPr>
        <w:t xml:space="preserve">  </w:t>
      </w:r>
      <w:r>
        <w:rPr>
          <w:rFonts w:hint="eastAsia" w:ascii="黑体" w:hAnsi="黑体" w:eastAsia="黑体" w:cs="黑体"/>
          <w:b w:val="0"/>
          <w:bCs/>
          <w:kern w:val="2"/>
          <w:sz w:val="21"/>
          <w:szCs w:val="21"/>
          <w:highlight w:val="none"/>
          <w:lang w:val="en-US" w:eastAsia="zh-CN" w:bidi="ar-SA"/>
        </w:rPr>
        <w:t xml:space="preserve">装    </w:t>
      </w:r>
      <w:r>
        <w:rPr>
          <w:rFonts w:hint="eastAsia" w:ascii="黑体" w:hAnsi="黑体" w:eastAsia="黑体"/>
          <w:b w:val="0"/>
          <w:sz w:val="21"/>
          <w:szCs w:val="21"/>
          <w:highlight w:val="none"/>
          <w:lang w:val="en-US" w:eastAsia="zh-CN"/>
        </w:rPr>
        <w:t>车</w:t>
      </w:r>
      <w:bookmarkEnd w:id="399"/>
      <w:bookmarkEnd w:id="400"/>
      <w:bookmarkEnd w:id="401"/>
      <w:bookmarkEnd w:id="402"/>
      <w:bookmarkEnd w:id="403"/>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预制混凝土构件装车时应核查每件出厂预制混凝土构件的外观质量、工程名称、构件编号、生产日期等信息。</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竖向预制混凝土构件采用立式（插放架）运输为宜，使用专用运输架，运输架与车身连接牢固。预制混凝土外墙板有饰面层时，饰面层朝外；预制混凝土构件薄弱部位和门窗洞口采取临时加固措施，防止变形开裂。</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竖向运输的预制混凝土构件所垫的柔性垫块不宜超出与构件接触的棱角边缘，防止柔性垫块在受压变形并产生应力集中的情况下造成与构件受力部位的棱角损坏。</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Times New Roman" w:hAnsi="Times New Roman" w:eastAsia="宋体" w:cs="Times New Roman"/>
          <w:szCs w:val="21"/>
          <w:highlight w:val="none"/>
        </w:rPr>
        <w:t xml:space="preserve">  采用靠放架运输时，预制混凝土构件对称靠放，每侧不大于2件，构件与地面倾斜角度宜大于80°，相邻预制混凝土构件之间顶部用木垫块或支撑杆件隔开。</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Times New Roman" w:hAnsi="Times New Roman" w:eastAsia="宋体" w:cs="Times New Roman"/>
          <w:szCs w:val="21"/>
          <w:highlight w:val="none"/>
        </w:rPr>
        <w:t xml:space="preserve">  水平预制混凝土构件采用平放运输为宜，装车时支点搁置正确，位置和数量应按设计要求进行；叠合类的水平预制混凝土构件将叠合层朝上放置。</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Times New Roman" w:hAnsi="Times New Roman" w:eastAsia="宋体" w:cs="Times New Roman"/>
          <w:szCs w:val="21"/>
          <w:highlight w:val="none"/>
        </w:rPr>
        <w:t xml:space="preserve">  水平预制混凝土构件装车时应按下列要求进行：</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沿构件长边方向两端每隔1/4处安置垫方或垫块，上下层垫方处于同一条垂直线上，且厚度相等；</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含吊环的构件，垫方的厚度应高于吊环的高度；</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垫方选择柔性材料，保证构件受力合理均匀。</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Times New Roman" w:hAnsi="Times New Roman" w:eastAsia="宋体" w:cs="Times New Roman"/>
          <w:szCs w:val="21"/>
          <w:highlight w:val="none"/>
        </w:rPr>
        <w:t xml:space="preserve">  运输叠合板的存放架与运输车接触部位应设置抗滑移措施；在保证叠合板运输安全的情况下，施加于固定叠合板的绷带的拉力不宜过大，否则易造成上部叠合板开裂。</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Times New Roman" w:hAnsi="Times New Roman" w:eastAsia="宋体" w:cs="Times New Roman"/>
          <w:szCs w:val="21"/>
          <w:highlight w:val="none"/>
        </w:rPr>
        <w:t xml:space="preserve">  预制混凝土构件装车应保持车上荷载分布均匀；优先按吊装顺序进行装车；大重量的预制混凝土构件应放置在运输平板车合理位置，避免出现“翘板”现象。</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eastAsia" w:ascii="Times New Roman" w:hAnsi="Times New Roman" w:eastAsia="宋体" w:cs="Times New Roman"/>
          <w:szCs w:val="21"/>
          <w:highlight w:val="none"/>
        </w:rPr>
        <w:t xml:space="preserve">  预制混凝土构件装车时，用帆布带、夹具、斜撑进行固定，预制混凝土构件棱角、边角部位用橡胶材料或其它柔性材料衬垫隔开，防止损坏外观尺寸。</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Times New Roman" w:hAnsi="Times New Roman" w:eastAsia="宋体" w:cs="Times New Roman"/>
          <w:szCs w:val="21"/>
          <w:highlight w:val="none"/>
        </w:rPr>
        <w:t xml:space="preserve">  预制混凝土构件起吊时，确保吊具、起重机的挂钩、预制混凝土构件三者之间的水平夹角符合下列要求：</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起重机吊钩与吊具的水平夹角不宜小于60°，不应小于45°；</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吊梁吊运竖向构件和柱时，水平夹角度宜为90°；</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吊架吊运水平构件时，水平夹角应大于60°。</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11</w:t>
      </w:r>
      <w:r>
        <w:rPr>
          <w:rFonts w:hint="eastAsia" w:ascii="Times New Roman" w:hAnsi="Times New Roman" w:eastAsia="宋体" w:cs="Times New Roman"/>
          <w:szCs w:val="21"/>
          <w:highlight w:val="none"/>
        </w:rPr>
        <w:t xml:space="preserve">  相邻预制混凝土构件应进行隔离、支撑措施，避免运输途中相互碰撞晃动而损坏外观质量。</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12</w:t>
      </w:r>
      <w:r>
        <w:rPr>
          <w:rFonts w:hint="eastAsia" w:ascii="Times New Roman" w:hAnsi="Times New Roman" w:eastAsia="宋体" w:cs="Times New Roman"/>
          <w:szCs w:val="21"/>
          <w:highlight w:val="none"/>
        </w:rPr>
        <w:t xml:space="preserve">  运输过程中须对预制混凝土构件进行防护，避免预制混凝土构件在运输过程中的污染和损坏，固定件、装车座架、帆布带/钢丝绳等直接与预制混凝土构件表面接触的物件，应增设垫层或木方，以防与构件直接接触而损伤表面及饰面。</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13</w:t>
      </w:r>
      <w:r>
        <w:rPr>
          <w:rFonts w:hint="eastAsia" w:ascii="Times New Roman" w:hAnsi="Times New Roman" w:eastAsia="宋体" w:cs="Times New Roman"/>
          <w:szCs w:val="21"/>
          <w:highlight w:val="none"/>
        </w:rPr>
        <w:t xml:space="preserve">  预制混凝土构件装车完成后用钢丝绳或帆布带固定牢靠。</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14</w:t>
      </w:r>
      <w:r>
        <w:rPr>
          <w:rFonts w:hint="eastAsia" w:ascii="Times New Roman" w:hAnsi="Times New Roman" w:eastAsia="宋体" w:cs="Times New Roman"/>
          <w:szCs w:val="21"/>
          <w:highlight w:val="none"/>
        </w:rPr>
        <w:t xml:space="preserve">  特殊异型预制混凝土构件运输时，构件生产单位须协助施工单位完成特殊的吊装运输方案并验证方案可靠性。</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404" w:name="_Toc154586197"/>
      <w:bookmarkStart w:id="405" w:name="_Toc24395"/>
      <w:bookmarkStart w:id="406" w:name="_Toc4762"/>
      <w:bookmarkStart w:id="407" w:name="_Toc3404"/>
      <w:bookmarkStart w:id="408" w:name="_Toc153205503"/>
      <w:r>
        <w:rPr>
          <w:rFonts w:hint="eastAsia" w:ascii="Times New Roman" w:hAnsi="Times New Roman" w:eastAsia="黑体" w:cs="Times New Roman"/>
          <w:b/>
          <w:bCs w:val="0"/>
          <w:sz w:val="21"/>
          <w:szCs w:val="21"/>
          <w:highlight w:val="none"/>
          <w:lang w:val="en-US" w:eastAsia="zh-CN"/>
        </w:rPr>
        <w:t>7</w:t>
      </w:r>
      <w:r>
        <w:rPr>
          <w:rFonts w:hint="eastAsia" w:ascii="宋体" w:hAnsi="宋体" w:eastAsia="宋体" w:cs="宋体"/>
          <w:b/>
          <w:bCs w:val="0"/>
          <w:sz w:val="21"/>
          <w:szCs w:val="21"/>
          <w:highlight w:val="none"/>
          <w:lang w:val="en-US" w:eastAsia="zh-CN"/>
        </w:rPr>
        <w:t>.</w:t>
      </w:r>
      <w:r>
        <w:rPr>
          <w:rFonts w:hint="eastAsia" w:ascii="Times New Roman" w:hAnsi="Times New Roman" w:eastAsia="黑体" w:cs="Times New Roman"/>
          <w:b/>
          <w:bCs w:val="0"/>
          <w:sz w:val="21"/>
          <w:szCs w:val="21"/>
          <w:highlight w:val="none"/>
          <w:lang w:val="en-US" w:eastAsia="zh-CN"/>
        </w:rPr>
        <w:t>5</w:t>
      </w:r>
      <w:r>
        <w:rPr>
          <w:rFonts w:hint="eastAsia" w:ascii="黑体" w:hAnsi="黑体" w:eastAsia="黑体"/>
          <w:b w:val="0"/>
          <w:sz w:val="21"/>
          <w:szCs w:val="21"/>
          <w:highlight w:val="none"/>
          <w:lang w:val="en-US" w:eastAsia="zh-CN"/>
        </w:rPr>
        <w:t xml:space="preserve">  道 </w:t>
      </w:r>
      <w:r>
        <w:rPr>
          <w:rFonts w:hint="eastAsia" w:ascii="黑体" w:hAnsi="黑体" w:eastAsia="黑体" w:cs="黑体"/>
          <w:b w:val="0"/>
          <w:bCs/>
          <w:kern w:val="2"/>
          <w:sz w:val="21"/>
          <w:szCs w:val="21"/>
          <w:highlight w:val="none"/>
          <w:lang w:val="en-US" w:eastAsia="zh-CN" w:bidi="ar-SA"/>
        </w:rPr>
        <w:t>路 运</w:t>
      </w:r>
      <w:r>
        <w:rPr>
          <w:rFonts w:hint="eastAsia" w:ascii="黑体" w:hAnsi="黑体" w:eastAsia="黑体"/>
          <w:b w:val="0"/>
          <w:sz w:val="21"/>
          <w:szCs w:val="21"/>
          <w:highlight w:val="none"/>
          <w:lang w:val="en-US" w:eastAsia="zh-CN"/>
        </w:rPr>
        <w:t xml:space="preserve"> 输</w:t>
      </w:r>
      <w:bookmarkEnd w:id="404"/>
      <w:bookmarkEnd w:id="405"/>
      <w:bookmarkEnd w:id="406"/>
      <w:bookmarkEnd w:id="407"/>
      <w:bookmarkEnd w:id="408"/>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预制混凝土构件的运输前，应确认：</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每件出厂预制混凝土构件的外观质量、工程名称、构件编号、生产日期等，并签字留档；</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检查预制混凝土构件的装车及发车顺序是否符合装车方案；</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确定运输发货时间及运输路线；</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检查预制混凝土构件运输过程中堆放支垫及成品保护措施是否牢固齐全。</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构件生产单位对每辆出厂运输车的驾驶员进行运输要求交底，行驶时应保持匀速平稳，严禁随意变道、无故急刹车、急提速，急转弯等。</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预制混凝土构件在运输途经上下坡路段时，控制车速，严禁急加速。</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Times New Roman" w:hAnsi="Times New Roman" w:eastAsia="宋体" w:cs="Times New Roman"/>
          <w:szCs w:val="21"/>
          <w:highlight w:val="none"/>
        </w:rPr>
        <w:t xml:space="preserve">  超限预制混凝土构件运输车辆通过公路桥梁时，时速应匀速居中行驶，严禁在桥上制动或变速。</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Times New Roman" w:hAnsi="Times New Roman" w:eastAsia="宋体" w:cs="Times New Roman"/>
          <w:szCs w:val="21"/>
          <w:highlight w:val="none"/>
        </w:rPr>
        <w:t xml:space="preserve">  运输中，时刻留意预制混凝土构件稳定及紧固情况，出现移位、捆扎或防滑垫块松动，须及时处理。</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Times New Roman" w:hAnsi="Times New Roman" w:eastAsia="宋体" w:cs="Times New Roman"/>
          <w:szCs w:val="21"/>
          <w:highlight w:val="none"/>
        </w:rPr>
        <w:t xml:space="preserve">  超宽预制混凝土构件夜间运输需在预制混凝土构件两侧最宽处和尾部设置安全警示灯。</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Times New Roman" w:hAnsi="Times New Roman" w:eastAsia="宋体" w:cs="Times New Roman"/>
          <w:szCs w:val="21"/>
          <w:highlight w:val="none"/>
        </w:rPr>
        <w:t xml:space="preserve">  首批运输预制混凝土构件时生产单位应派车辆与运输车随行，观察预制混凝土构件稳定情况。</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Times New Roman" w:hAnsi="Times New Roman" w:eastAsia="宋体" w:cs="Times New Roman"/>
          <w:szCs w:val="21"/>
          <w:highlight w:val="none"/>
        </w:rPr>
        <w:t xml:space="preserve">  超限预制混凝土构件运输需要全程配备工程引导车或向交警相关部门提交相关申请。</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eastAsia" w:ascii="Times New Roman" w:hAnsi="Times New Roman" w:eastAsia="宋体" w:cs="Times New Roman"/>
          <w:szCs w:val="21"/>
          <w:highlight w:val="none"/>
        </w:rPr>
        <w:t xml:space="preserve">  构件生产单位自有运输车队或第三方运输物流公司应当按照国家有关规定在其牵引车上安装、使用行驶记录仪，并采取有效措施，防止驾驶人员连续驾驶时间超过4个小时。</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Times New Roman" w:hAnsi="Times New Roman" w:eastAsia="宋体" w:cs="Times New Roman"/>
          <w:szCs w:val="21"/>
          <w:highlight w:val="none"/>
        </w:rPr>
        <w:t xml:space="preserve">  构件生产单位自有运输车队或第三方运输物流公司都应具备制定完善的车辆运输相关的应急预案：</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车辆运输途中发生车辆故障，修理时间较短，应及时通知项目现场负责人；若无法修理或修理时间过长，应安排其他车辆补货；</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车辆运输途中发生交通事故，应及时通知项目现场并安排其他车辆进行补货；</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车辆运输途中因天气、道路等自然因素不能按时抵达项目现场，应及时通知项目现场负责人；</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可多制定备用运输路线，避免因其他非自然因素导致不能按时送达现象</w:t>
      </w:r>
      <w:r>
        <w:rPr>
          <w:rFonts w:hint="eastAsia" w:cs="Times New Roman"/>
          <w:szCs w:val="21"/>
          <w:highlight w:val="none"/>
          <w:lang w:eastAsia="zh-CN"/>
        </w:rPr>
        <w:t>。</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11</w:t>
      </w:r>
      <w:r>
        <w:rPr>
          <w:rFonts w:hint="eastAsia" w:ascii="Times New Roman" w:hAnsi="Times New Roman" w:eastAsia="宋体" w:cs="Times New Roman"/>
          <w:szCs w:val="21"/>
          <w:highlight w:val="none"/>
        </w:rPr>
        <w:t xml:space="preserve">  预制混凝土构件运输车辆抵达项目现场后，需遵守项目现场的收货规定，根据相关要求提供资料文件，并配合现场质检员对预制混凝土构件进行质量检查工作。</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409" w:name="_Toc8100"/>
      <w:bookmarkStart w:id="410" w:name="_Toc18371"/>
      <w:bookmarkStart w:id="411" w:name="_Toc17469"/>
      <w:bookmarkStart w:id="412" w:name="_Toc153205504"/>
      <w:bookmarkStart w:id="413" w:name="_Toc154586198"/>
      <w:r>
        <w:rPr>
          <w:rFonts w:hint="default" w:ascii="Times New Roman" w:hAnsi="Times New Roman" w:eastAsia="黑体" w:cs="Times New Roman"/>
          <w:b/>
          <w:bCs w:val="0"/>
          <w:sz w:val="21"/>
          <w:szCs w:val="21"/>
          <w:highlight w:val="none"/>
          <w:lang w:val="en-US" w:eastAsia="zh-CN"/>
        </w:rPr>
        <w:t>7</w:t>
      </w:r>
      <w:r>
        <w:rPr>
          <w:rFonts w:hint="eastAsia" w:ascii="宋体" w:hAnsi="宋体" w:eastAsia="宋体" w:cs="宋体"/>
          <w:b/>
          <w:bCs w:val="0"/>
          <w:sz w:val="21"/>
          <w:szCs w:val="21"/>
          <w:highlight w:val="none"/>
          <w:lang w:val="en-US" w:eastAsia="zh-CN"/>
        </w:rPr>
        <w:t>.</w:t>
      </w:r>
      <w:r>
        <w:rPr>
          <w:rFonts w:hint="default" w:ascii="Times New Roman" w:hAnsi="Times New Roman" w:eastAsia="黑体" w:cs="Times New Roman"/>
          <w:b/>
          <w:bCs w:val="0"/>
          <w:sz w:val="21"/>
          <w:szCs w:val="21"/>
          <w:highlight w:val="none"/>
          <w:lang w:val="en-US" w:eastAsia="zh-CN"/>
        </w:rPr>
        <w:t>6</w:t>
      </w:r>
      <w:r>
        <w:rPr>
          <w:rFonts w:hint="eastAsia" w:ascii="黑体" w:hAnsi="黑体" w:eastAsia="黑体"/>
          <w:b w:val="0"/>
          <w:sz w:val="21"/>
          <w:szCs w:val="21"/>
          <w:highlight w:val="none"/>
          <w:lang w:val="en-US" w:eastAsia="zh-CN"/>
        </w:rPr>
        <w:t xml:space="preserve">  </w:t>
      </w:r>
      <w:r>
        <w:rPr>
          <w:rFonts w:hint="eastAsia" w:ascii="黑体" w:hAnsi="黑体" w:eastAsia="黑体" w:cs="黑体"/>
          <w:b w:val="0"/>
          <w:bCs/>
          <w:kern w:val="2"/>
          <w:sz w:val="21"/>
          <w:szCs w:val="21"/>
          <w:highlight w:val="none"/>
          <w:lang w:val="en-US" w:eastAsia="zh-CN" w:bidi="ar-SA"/>
        </w:rPr>
        <w:t xml:space="preserve">卸    </w:t>
      </w:r>
      <w:r>
        <w:rPr>
          <w:rFonts w:hint="eastAsia" w:ascii="黑体" w:hAnsi="黑体" w:eastAsia="黑体"/>
          <w:b w:val="0"/>
          <w:sz w:val="21"/>
          <w:szCs w:val="21"/>
          <w:highlight w:val="none"/>
          <w:lang w:val="en-US" w:eastAsia="zh-CN"/>
        </w:rPr>
        <w:t>车</w:t>
      </w:r>
      <w:bookmarkEnd w:id="409"/>
      <w:bookmarkEnd w:id="410"/>
      <w:bookmarkEnd w:id="411"/>
      <w:bookmarkEnd w:id="412"/>
      <w:bookmarkEnd w:id="413"/>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运输车辆进出施工现场时，控制车速，保持匀速缓慢平稳。</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预制混凝土构件卸车前应确保车辆停靠安全、平稳。</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项目现场的质检员和物料员签收货运订单前应仔细核对预制混凝土构件数量和质量外观等，确认方可签收收货运单。</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Times New Roman" w:hAnsi="Times New Roman" w:eastAsia="宋体" w:cs="Times New Roman"/>
          <w:szCs w:val="21"/>
          <w:highlight w:val="none"/>
        </w:rPr>
        <w:t xml:space="preserve">  预制混凝土构件运输车抵达项目现场后根据运输方案进行下一步工序：</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采用“即吊即走”方案时，车辆停至项目现场指定吊装区域内等待吊装；</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采用“现场存放”方案时，车辆停至项目现场指定卸车区域内等待卸货。</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Times New Roman" w:hAnsi="Times New Roman" w:eastAsia="宋体" w:cs="Times New Roman"/>
          <w:szCs w:val="21"/>
          <w:highlight w:val="none"/>
        </w:rPr>
        <w:t xml:space="preserve">  超长超宽的预制混凝土构件进场时，为避免出现剐蹭情况，项目现场应安排专人负责指挥运输车辆进出。</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Times New Roman" w:hAnsi="Times New Roman" w:eastAsia="宋体" w:cs="Times New Roman"/>
          <w:szCs w:val="21"/>
          <w:highlight w:val="none"/>
        </w:rPr>
        <w:t xml:space="preserve">  卸车时天气状况良好，风力、能见度等气象情况应符合施工要求；夜间施工有足够的光线、照度。</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Times New Roman" w:hAnsi="Times New Roman" w:eastAsia="宋体" w:cs="Times New Roman"/>
          <w:szCs w:val="21"/>
          <w:highlight w:val="none"/>
        </w:rPr>
        <w:t xml:space="preserve">  预制混凝土构件进行卸车或转运时，构件下方严禁存在作业人员，构件距地面1m以内时，操作人员可进行作业。</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Times New Roman" w:hAnsi="Times New Roman" w:eastAsia="宋体" w:cs="Times New Roman"/>
          <w:szCs w:val="21"/>
          <w:highlight w:val="none"/>
        </w:rPr>
        <w:t xml:space="preserve">  卸车起吊作业时应使用缆风绳（牵引绳），防止预制混凝土构件在吊运过程中大幅度晃动，避免发生意外。</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eastAsia" w:ascii="Times New Roman" w:hAnsi="Times New Roman" w:eastAsia="宋体" w:cs="Times New Roman"/>
          <w:szCs w:val="21"/>
          <w:highlight w:val="none"/>
        </w:rPr>
        <w:t xml:space="preserve">  吊装区域空中和地面不得有障碍物。</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Times New Roman" w:hAnsi="Times New Roman" w:eastAsia="宋体" w:cs="Times New Roman"/>
          <w:szCs w:val="21"/>
          <w:highlight w:val="none"/>
        </w:rPr>
        <w:t xml:space="preserve">  缆风绳（牵引绳）应保证足够强度，原则上选用直径不小于25㎜，材质为涤纶或丙纶的专用缆风绳（牵引绳）。</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11</w:t>
      </w:r>
      <w:r>
        <w:rPr>
          <w:rFonts w:hint="eastAsia" w:ascii="Times New Roman" w:hAnsi="Times New Roman" w:eastAsia="宋体" w:cs="Times New Roman"/>
          <w:szCs w:val="21"/>
          <w:highlight w:val="none"/>
        </w:rPr>
        <w:t xml:space="preserve">  吊装人员使用缆风绳（牵引绳）控制预制混凝土构件的过程中需注意操作安全，站位合理，绳端头应距离构件2米至3米。</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12</w:t>
      </w:r>
      <w:r>
        <w:rPr>
          <w:rFonts w:hint="eastAsia" w:ascii="Times New Roman" w:hAnsi="Times New Roman" w:eastAsia="宋体" w:cs="Times New Roman"/>
          <w:szCs w:val="21"/>
          <w:highlight w:val="none"/>
        </w:rPr>
        <w:t xml:space="preserve">  预制混凝土构件运输车吊装完成后车辆应及时离场，避免影响项目现场正常施工。</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13</w:t>
      </w:r>
      <w:r>
        <w:rPr>
          <w:rFonts w:hint="eastAsia" w:ascii="Times New Roman" w:hAnsi="Times New Roman" w:eastAsia="宋体" w:cs="Times New Roman"/>
          <w:szCs w:val="21"/>
          <w:highlight w:val="none"/>
        </w:rPr>
        <w:t xml:space="preserve">  首批预制混凝土构件进场时，构件生产单位须派遣技术专业人抵达项目现场进行现场首批构件吊装工序指引工作。</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14</w:t>
      </w:r>
      <w:r>
        <w:rPr>
          <w:rFonts w:hint="eastAsia" w:ascii="Times New Roman" w:hAnsi="Times New Roman" w:eastAsia="宋体" w:cs="Times New Roman"/>
          <w:szCs w:val="21"/>
          <w:highlight w:val="none"/>
        </w:rPr>
        <w:t xml:space="preserve">  预制混凝土构件卸车方案：</w:t>
      </w:r>
    </w:p>
    <w:p>
      <w:pPr>
        <w:spacing w:line="240" w:lineRule="auto"/>
        <w:ind w:firstLine="440" w:firstLineChars="200"/>
        <w:outlineLvl w:val="9"/>
        <w:rPr>
          <w:rFonts w:hint="eastAsia" w:ascii="Times New Roman" w:hAnsi="Times New Roman" w:eastAsia="宋体" w:cs="Times New Roman"/>
          <w:szCs w:val="21"/>
          <w:highlight w:val="none"/>
        </w:rPr>
      </w:pPr>
      <w:bookmarkStart w:id="414" w:name="_Toc6705"/>
      <w:bookmarkStart w:id="415" w:name="_Toc16191"/>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施工现场应明确运输车辆的停靠位置及卸货区域；</w:t>
      </w:r>
      <w:bookmarkEnd w:id="414"/>
      <w:bookmarkEnd w:id="415"/>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卸车吊运构件前，应明确卸车顺序，时刻注意卸车过程中的车辆稳定性，确保预制混凝土构件吊运过程中车辆上其余构件稳定、车辆重心稳定，避免出现倾覆现象；</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卸车吊运预制混凝土构件时，应按照卸车顺序对已吊运的构件进行临时支撑拆除工作；</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严禁在无保护措施情况下直接攀爬预制混凝土构件进行吊具安装工作；</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卸车吊运预制混凝土构件应采用慢起、稳升的操作方式：吊运过程应保持稳定，不应偏斜、摇摆和扭转</w:t>
      </w:r>
      <w:r>
        <w:rPr>
          <w:rFonts w:hint="eastAsia" w:cs="Times New Roman"/>
          <w:szCs w:val="21"/>
          <w:highlight w:val="none"/>
          <w:lang w:eastAsia="zh-CN"/>
        </w:rPr>
        <w:t>；</w:t>
      </w:r>
    </w:p>
    <w:p>
      <w:pPr>
        <w:spacing w:line="240" w:lineRule="auto"/>
        <w:ind w:firstLine="440" w:firstLineChars="200"/>
        <w:outlineLvl w:val="9"/>
        <w:rPr>
          <w:rFonts w:hint="eastAsia" w:ascii="Times New Roman" w:hAnsi="Times New Roman" w:eastAsia="宋体" w:cs="Times New Roman"/>
          <w:szCs w:val="21"/>
          <w:highlight w:val="none"/>
        </w:rPr>
      </w:pPr>
      <w:bookmarkStart w:id="416" w:name="_Toc21418"/>
      <w:bookmarkStart w:id="417" w:name="_Toc15855"/>
      <w:r>
        <w:rPr>
          <w:rFonts w:hint="eastAsia" w:ascii="Times New Roman" w:hAnsi="Times New Roman" w:eastAsia="宋体" w:cs="Times New Roman"/>
          <w:b/>
          <w:bCs/>
          <w:szCs w:val="21"/>
          <w:highlight w:val="none"/>
        </w:rPr>
        <w:t>6</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卸车吊运预制混凝土构件时，构件下方严禁站人逗留；</w:t>
      </w:r>
      <w:bookmarkEnd w:id="416"/>
      <w:bookmarkEnd w:id="417"/>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7</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卸车吊运预制混凝土构件时，运输车辆应处于熄火状态且牵引车内无人。</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418" w:name="_Toc153205505"/>
      <w:bookmarkStart w:id="419" w:name="_Toc19735"/>
      <w:bookmarkStart w:id="420" w:name="_Toc2510"/>
      <w:bookmarkStart w:id="421" w:name="_Toc5955"/>
      <w:bookmarkStart w:id="422" w:name="_Toc154586199"/>
      <w:r>
        <w:rPr>
          <w:rFonts w:hint="default" w:ascii="Times New Roman" w:hAnsi="Times New Roman" w:eastAsia="黑体" w:cs="Times New Roman"/>
          <w:b/>
          <w:bCs w:val="0"/>
          <w:sz w:val="21"/>
          <w:szCs w:val="21"/>
          <w:highlight w:val="none"/>
          <w:lang w:val="en-US" w:eastAsia="zh-CN"/>
        </w:rPr>
        <w:t>7</w:t>
      </w:r>
      <w:r>
        <w:rPr>
          <w:rFonts w:hint="eastAsia" w:ascii="宋体" w:hAnsi="宋体" w:eastAsia="宋体" w:cs="宋体"/>
          <w:b/>
          <w:bCs w:val="0"/>
          <w:sz w:val="21"/>
          <w:szCs w:val="21"/>
          <w:highlight w:val="none"/>
          <w:lang w:val="en-US" w:eastAsia="zh-CN"/>
        </w:rPr>
        <w:t>.</w:t>
      </w:r>
      <w:r>
        <w:rPr>
          <w:rFonts w:hint="eastAsia" w:ascii="Times New Roman" w:hAnsi="Times New Roman" w:eastAsia="黑体" w:cs="Times New Roman"/>
          <w:b/>
          <w:bCs w:val="0"/>
          <w:sz w:val="21"/>
          <w:szCs w:val="21"/>
          <w:highlight w:val="none"/>
          <w:lang w:val="en-US" w:eastAsia="zh-CN"/>
        </w:rPr>
        <w:t>7</w:t>
      </w:r>
      <w:r>
        <w:rPr>
          <w:rFonts w:hint="eastAsia" w:ascii="黑体" w:hAnsi="黑体" w:eastAsia="黑体"/>
          <w:b w:val="0"/>
          <w:sz w:val="21"/>
          <w:szCs w:val="21"/>
          <w:highlight w:val="none"/>
          <w:lang w:val="en-US" w:eastAsia="zh-CN"/>
        </w:rPr>
        <w:t xml:space="preserve">  现 </w:t>
      </w:r>
      <w:r>
        <w:rPr>
          <w:rFonts w:hint="eastAsia" w:ascii="黑体" w:hAnsi="黑体" w:eastAsia="黑体" w:cs="黑体"/>
          <w:b w:val="0"/>
          <w:bCs/>
          <w:kern w:val="2"/>
          <w:sz w:val="21"/>
          <w:szCs w:val="21"/>
          <w:highlight w:val="none"/>
          <w:lang w:val="en-US" w:eastAsia="zh-CN" w:bidi="ar-SA"/>
        </w:rPr>
        <w:t>场 存</w:t>
      </w:r>
      <w:r>
        <w:rPr>
          <w:rFonts w:hint="eastAsia" w:ascii="黑体" w:hAnsi="黑体" w:eastAsia="黑体"/>
          <w:b w:val="0"/>
          <w:sz w:val="21"/>
          <w:szCs w:val="21"/>
          <w:highlight w:val="none"/>
          <w:lang w:val="en-US" w:eastAsia="zh-CN"/>
        </w:rPr>
        <w:t xml:space="preserve"> 放</w:t>
      </w:r>
      <w:bookmarkEnd w:id="418"/>
      <w:bookmarkEnd w:id="419"/>
      <w:bookmarkEnd w:id="420"/>
      <w:bookmarkEnd w:id="421"/>
      <w:bookmarkEnd w:id="422"/>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预制混凝土构件堆放区域应平整、保持排水良好且密实满足构件堆放所需的荷载要求，避免由于场地原因造成构件倾覆引起的安全事故。</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预制混凝土构件运输到现场后，宜按规格、品种、所用部位、吊装顺序分别设置堆场，现场堆场应按照施工组织设计的平面布置堆放。</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预制混凝土构件应堆放至所对应楼栋周围，堆场应设置在起重设备作业半径内，避免构件二次转运。</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Times New Roman" w:hAnsi="Times New Roman" w:eastAsia="宋体" w:cs="Times New Roman"/>
          <w:szCs w:val="21"/>
          <w:highlight w:val="none"/>
        </w:rPr>
        <w:t xml:space="preserve">  预制混凝土构件的存放架应具有足够的抗倾覆性能，严禁构件无存放架立式存放。</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Times New Roman" w:hAnsi="Times New Roman" w:eastAsia="宋体" w:cs="Times New Roman"/>
          <w:szCs w:val="21"/>
          <w:highlight w:val="none"/>
        </w:rPr>
        <w:t xml:space="preserve">  预制混凝土构件运输至现场后，在构件吊运的过程中应注意成品的堆放保护。</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Times New Roman" w:hAnsi="Times New Roman" w:eastAsia="宋体" w:cs="Times New Roman"/>
          <w:szCs w:val="21"/>
          <w:highlight w:val="none"/>
        </w:rPr>
        <w:t xml:space="preserve">  堆放预制混凝土构件时应保证最下层构件垫实，预埋吊件向上，标志向外。垫木或垫块在构件下的位置宜与脱模、吊装时的起吊位置一致。</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Times New Roman" w:hAnsi="Times New Roman" w:eastAsia="宋体" w:cs="Times New Roman"/>
          <w:szCs w:val="21"/>
          <w:highlight w:val="none"/>
        </w:rPr>
        <w:t xml:space="preserve">  预制混凝土构件堆放场地应定期进行维护并设置专用标识和配备专业操作人员，并拉警戒线进行围挡严禁其它人员进入，构件在堆场进行验收、运输等作业时，作业人员应符合相关操作流程。</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Times New Roman" w:hAnsi="Times New Roman" w:eastAsia="宋体" w:cs="Times New Roman"/>
          <w:szCs w:val="21"/>
          <w:highlight w:val="none"/>
        </w:rPr>
        <w:t xml:space="preserve">  遇雨、雪、大雾或强风等不利气象时，不应进入堆场作业。</w:t>
      </w:r>
    </w:p>
    <w:p>
      <w:pPr>
        <w:spacing w:line="240" w:lineRule="auto"/>
        <w:rPr>
          <w:rFonts w:hint="eastAsia" w:ascii="Times New Roman" w:hAnsi="Times New Roman" w:eastAsia="宋体" w:cs="Times New Roman"/>
          <w:szCs w:val="21"/>
          <w:highlight w:val="none"/>
        </w:rPr>
      </w:pPr>
    </w:p>
    <w:p>
      <w:pPr>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br w:type="page"/>
      </w:r>
    </w:p>
    <w:p>
      <w:pPr>
        <w:keepNext/>
        <w:keepLines/>
        <w:spacing w:before="360" w:after="360" w:line="240" w:lineRule="auto"/>
        <w:jc w:val="center"/>
        <w:outlineLvl w:val="0"/>
        <w:rPr>
          <w:rStyle w:val="23"/>
          <w:rFonts w:hint="default" w:ascii="宋体" w:hAnsi="宋体" w:eastAsia="宋体" w:cs="宋体"/>
          <w:b w:val="0"/>
          <w:bCs w:val="0"/>
          <w:sz w:val="28"/>
          <w:szCs w:val="28"/>
          <w:highlight w:val="none"/>
          <w:lang w:val="en-US" w:eastAsia="zh-CN"/>
        </w:rPr>
      </w:pPr>
      <w:bookmarkStart w:id="423" w:name="_Toc22109"/>
      <w:bookmarkStart w:id="424" w:name="_Toc28553"/>
      <w:bookmarkStart w:id="425" w:name="_Toc9208"/>
      <w:r>
        <w:rPr>
          <w:rStyle w:val="23"/>
          <w:rFonts w:hint="default" w:ascii="Times New Roman" w:hAnsi="Times New Roman" w:eastAsia="黑体" w:cs="Times New Roman"/>
          <w:b/>
          <w:bCs/>
          <w:sz w:val="28"/>
          <w:szCs w:val="28"/>
          <w:highlight w:val="none"/>
          <w:lang w:val="en-US" w:eastAsia="zh-CN"/>
        </w:rPr>
        <w:t>8</w:t>
      </w:r>
      <w:r>
        <w:rPr>
          <w:rStyle w:val="23"/>
          <w:rFonts w:hint="eastAsia" w:ascii="宋体" w:hAnsi="宋体" w:eastAsia="宋体"/>
          <w:b w:val="0"/>
          <w:bCs w:val="0"/>
          <w:sz w:val="28"/>
          <w:szCs w:val="28"/>
          <w:highlight w:val="none"/>
          <w:lang w:val="en-US" w:eastAsia="zh-CN"/>
        </w:rPr>
        <w:t xml:space="preserve"> </w:t>
      </w:r>
      <w:r>
        <w:rPr>
          <w:rStyle w:val="23"/>
          <w:rFonts w:hint="eastAsia" w:ascii="宋体" w:hAnsi="宋体" w:eastAsia="宋体" w:cs="宋体"/>
          <w:b w:val="0"/>
          <w:bCs w:val="0"/>
          <w:sz w:val="28"/>
          <w:szCs w:val="28"/>
          <w:highlight w:val="none"/>
          <w:lang w:val="en-US" w:eastAsia="zh-CN"/>
        </w:rPr>
        <w:t xml:space="preserve"> 产品标识与资料文件</w:t>
      </w:r>
      <w:bookmarkEnd w:id="423"/>
      <w:bookmarkEnd w:id="424"/>
      <w:bookmarkEnd w:id="425"/>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426" w:name="_Toc154586201"/>
      <w:bookmarkStart w:id="427" w:name="_Toc117169884"/>
      <w:bookmarkStart w:id="428" w:name="_Toc91852655"/>
      <w:bookmarkStart w:id="429" w:name="_Toc153205507"/>
      <w:bookmarkStart w:id="430" w:name="_Toc10971"/>
      <w:bookmarkStart w:id="431" w:name="_Toc116581584"/>
      <w:bookmarkStart w:id="432" w:name="_Toc5642"/>
      <w:bookmarkStart w:id="433" w:name="_Toc143007042"/>
      <w:bookmarkStart w:id="434" w:name="_Toc116895396"/>
      <w:bookmarkStart w:id="435" w:name="_Toc8248"/>
      <w:r>
        <w:rPr>
          <w:rFonts w:hint="default" w:ascii="Times New Roman" w:hAnsi="Times New Roman" w:eastAsia="黑体" w:cs="Times New Roman"/>
          <w:b/>
          <w:bCs w:val="0"/>
          <w:sz w:val="21"/>
          <w:szCs w:val="21"/>
          <w:highlight w:val="none"/>
          <w:lang w:val="en-US" w:eastAsia="zh-CN"/>
        </w:rPr>
        <w:t>8</w:t>
      </w:r>
      <w:r>
        <w:rPr>
          <w:rFonts w:hint="eastAsia" w:ascii="宋体" w:hAnsi="宋体" w:eastAsia="宋体" w:cs="宋体"/>
          <w:b/>
          <w:bCs w:val="0"/>
          <w:sz w:val="21"/>
          <w:szCs w:val="21"/>
          <w:highlight w:val="none"/>
          <w:lang w:val="en-US" w:eastAsia="zh-CN"/>
        </w:rPr>
        <w:t>.</w:t>
      </w:r>
      <w:r>
        <w:rPr>
          <w:rFonts w:hint="default" w:ascii="Times New Roman" w:hAnsi="Times New Roman" w:eastAsia="黑体" w:cs="Times New Roman"/>
          <w:b/>
          <w:bCs w:val="0"/>
          <w:sz w:val="21"/>
          <w:szCs w:val="21"/>
          <w:highlight w:val="none"/>
          <w:lang w:val="en-US" w:eastAsia="zh-CN"/>
        </w:rPr>
        <w:t>1</w:t>
      </w:r>
      <w:r>
        <w:rPr>
          <w:rFonts w:hint="eastAsia" w:ascii="黑体" w:hAnsi="黑体" w:eastAsia="黑体"/>
          <w:b w:val="0"/>
          <w:sz w:val="21"/>
          <w:szCs w:val="21"/>
          <w:highlight w:val="none"/>
          <w:lang w:val="en-US" w:eastAsia="zh-CN"/>
        </w:rPr>
        <w:t xml:space="preserve">  产 品 标 识</w:t>
      </w:r>
      <w:bookmarkEnd w:id="426"/>
      <w:bookmarkEnd w:id="427"/>
      <w:bookmarkEnd w:id="428"/>
      <w:bookmarkEnd w:id="429"/>
      <w:bookmarkEnd w:id="430"/>
      <w:bookmarkEnd w:id="431"/>
      <w:bookmarkEnd w:id="432"/>
      <w:bookmarkEnd w:id="433"/>
      <w:bookmarkEnd w:id="434"/>
      <w:bookmarkEnd w:id="435"/>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预制混凝土构件脱模后，应在构件表面显著位置打上产品标识。预制混凝土构件产品标识内容应包含工程名称、构件编号、构件重量、生产日期，其中构件编号应包含构件类型、构件型号、安装位置信息。</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预制混凝土构件自检合格后应打上出厂质检合格标识，标识不清的预制混凝土构件不应出厂。</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436" w:name="_Toc154586202"/>
      <w:bookmarkStart w:id="437" w:name="_Toc117169885"/>
      <w:bookmarkStart w:id="438" w:name="_Toc20482"/>
      <w:bookmarkStart w:id="439" w:name="_Toc14351"/>
      <w:bookmarkStart w:id="440" w:name="_Toc116895397"/>
      <w:bookmarkStart w:id="441" w:name="_Toc143007043"/>
      <w:bookmarkStart w:id="442" w:name="_Toc30776"/>
      <w:bookmarkStart w:id="443" w:name="_Toc91852656"/>
      <w:bookmarkStart w:id="444" w:name="_Toc153205508"/>
      <w:bookmarkStart w:id="445" w:name="_Toc116581585"/>
      <w:r>
        <w:rPr>
          <w:rFonts w:hint="eastAsia" w:ascii="Times New Roman" w:hAnsi="Times New Roman" w:eastAsia="黑体" w:cs="Times New Roman"/>
          <w:b/>
          <w:bCs w:val="0"/>
          <w:sz w:val="21"/>
          <w:szCs w:val="21"/>
          <w:highlight w:val="none"/>
          <w:lang w:val="en-US" w:eastAsia="zh-CN"/>
        </w:rPr>
        <w:t>8</w:t>
      </w:r>
      <w:r>
        <w:rPr>
          <w:rFonts w:hint="eastAsia" w:ascii="宋体" w:hAnsi="宋体" w:eastAsia="宋体" w:cs="宋体"/>
          <w:b/>
          <w:bCs w:val="0"/>
          <w:sz w:val="21"/>
          <w:szCs w:val="21"/>
          <w:highlight w:val="none"/>
          <w:lang w:val="en-US" w:eastAsia="zh-CN"/>
        </w:rPr>
        <w:t>.</w:t>
      </w:r>
      <w:r>
        <w:rPr>
          <w:rFonts w:hint="eastAsia" w:ascii="Times New Roman" w:hAnsi="Times New Roman" w:eastAsia="黑体" w:cs="Times New Roman"/>
          <w:b/>
          <w:bCs w:val="0"/>
          <w:sz w:val="21"/>
          <w:szCs w:val="21"/>
          <w:highlight w:val="none"/>
          <w:lang w:val="en-US" w:eastAsia="zh-CN"/>
        </w:rPr>
        <w:t>2</w:t>
      </w:r>
      <w:r>
        <w:rPr>
          <w:rFonts w:hint="eastAsia" w:ascii="黑体" w:hAnsi="黑体" w:eastAsia="黑体"/>
          <w:b w:val="0"/>
          <w:sz w:val="21"/>
          <w:szCs w:val="21"/>
          <w:highlight w:val="none"/>
          <w:lang w:val="en-US" w:eastAsia="zh-CN"/>
        </w:rPr>
        <w:t xml:space="preserve">  资 </w:t>
      </w:r>
      <w:r>
        <w:rPr>
          <w:rFonts w:hint="eastAsia" w:ascii="黑体" w:hAnsi="黑体" w:eastAsia="黑体" w:cs="黑体"/>
          <w:b w:val="0"/>
          <w:bCs/>
          <w:kern w:val="2"/>
          <w:sz w:val="21"/>
          <w:szCs w:val="21"/>
          <w:highlight w:val="none"/>
          <w:lang w:val="en-US" w:eastAsia="zh-CN" w:bidi="ar-SA"/>
        </w:rPr>
        <w:t>料 文</w:t>
      </w:r>
      <w:r>
        <w:rPr>
          <w:rFonts w:hint="eastAsia" w:ascii="黑体" w:hAnsi="黑体" w:eastAsia="黑体"/>
          <w:b w:val="0"/>
          <w:sz w:val="21"/>
          <w:szCs w:val="21"/>
          <w:highlight w:val="none"/>
          <w:lang w:val="en-US" w:eastAsia="zh-CN"/>
        </w:rPr>
        <w:t xml:space="preserve"> 件</w:t>
      </w:r>
      <w:bookmarkEnd w:id="436"/>
      <w:bookmarkEnd w:id="437"/>
      <w:bookmarkEnd w:id="438"/>
      <w:bookmarkEnd w:id="439"/>
      <w:bookmarkEnd w:id="440"/>
      <w:bookmarkEnd w:id="441"/>
      <w:bookmarkEnd w:id="442"/>
      <w:bookmarkEnd w:id="443"/>
      <w:bookmarkEnd w:id="444"/>
      <w:bookmarkEnd w:id="445"/>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预制混凝土构件生产单位应按照有关标准规定或合同要求，对供应的产品签发合格证。合格证应包括下列内容：</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合格证编号；</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项目名称；</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生产单位名称、生产日期；</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构件编号、构件类型；</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生产单位签字或盖章。</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预制混凝土构件的资料应与产品生产同步形成、收集和整理，预制混凝土构件生产单位归档保存资料宜包括以下内容：</w:t>
      </w:r>
    </w:p>
    <w:p>
      <w:pPr>
        <w:spacing w:line="240" w:lineRule="auto"/>
        <w:ind w:firstLine="440" w:firstLineChars="200"/>
        <w:outlineLvl w:val="9"/>
        <w:rPr>
          <w:rFonts w:hint="eastAsia" w:ascii="Times New Roman" w:hAnsi="Times New Roman" w:eastAsia="宋体" w:cs="Times New Roman"/>
          <w:szCs w:val="21"/>
          <w:highlight w:val="none"/>
        </w:rPr>
      </w:pPr>
      <w:bookmarkStart w:id="446" w:name="_Toc10063"/>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预制混凝土构件加工合同；</w:t>
      </w:r>
      <w:bookmarkEnd w:id="446"/>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预制混凝土构件加工图纸、设计文件、设计洽商、变更或交底文件；</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生产方案和质量计划等文件；</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原材料质量证明文件、复试试验记录和试验报告</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混凝土试配资料</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6</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混凝土配合比通知单</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7</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混凝土配合比设计/验证报告</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8</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混凝土强度报告</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9</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钢筋检验资料、钢筋接头的试验报告</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10</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隐蔽验收记录</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11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预应力施工记录</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12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混凝土浇筑记录</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13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构件成品质量检验记录</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14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构件养护记录</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15</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构件性能检测报告</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16</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构件出厂合格证</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17</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质量事故分析和处理资料</w:t>
      </w:r>
      <w:r>
        <w:rPr>
          <w:rFonts w:hint="eastAsia" w:cs="Times New Roman"/>
          <w:szCs w:val="21"/>
          <w:highlight w:val="none"/>
          <w:lang w:eastAsia="zh-CN"/>
        </w:rPr>
        <w:t>；</w:t>
      </w:r>
    </w:p>
    <w:p>
      <w:pPr>
        <w:spacing w:line="240" w:lineRule="auto"/>
        <w:ind w:firstLine="440" w:firstLineChars="200"/>
        <w:rPr>
          <w:rFonts w:hint="eastAsia" w:ascii="Times New Roman" w:hAnsi="Times New Roman" w:eastAsia="宋体" w:cs="Times New Roman"/>
          <w:szCs w:val="21"/>
          <w:highlight w:val="none"/>
          <w:lang w:eastAsia="zh-CN"/>
        </w:rPr>
      </w:pPr>
      <w:r>
        <w:rPr>
          <w:rFonts w:hint="eastAsia" w:ascii="Times New Roman" w:hAnsi="Times New Roman" w:eastAsia="宋体" w:cs="Times New Roman"/>
          <w:b/>
          <w:bCs/>
          <w:szCs w:val="21"/>
          <w:highlight w:val="none"/>
        </w:rPr>
        <w:t>18</w:t>
      </w:r>
      <w:r>
        <w:rPr>
          <w:rFonts w:hint="eastAsia" w:ascii="Times New Roman" w:hAnsi="Times New Roman" w:eastAsia="宋体" w:cs="Times New Roman"/>
          <w:b w:val="0"/>
          <w:bCs w:val="0"/>
          <w:szCs w:val="21"/>
          <w:highlight w:val="none"/>
        </w:rPr>
        <w:t xml:space="preserve"> </w:t>
      </w:r>
      <w:r>
        <w:rPr>
          <w:rFonts w:hint="eastAsia" w:cs="Times New Roman"/>
          <w:b w:val="0"/>
          <w:bCs w:val="0"/>
          <w:szCs w:val="21"/>
          <w:highlight w:val="none"/>
          <w:lang w:val="en-US" w:eastAsia="zh-CN"/>
        </w:rPr>
        <w:t xml:space="preserve"> </w:t>
      </w:r>
      <w:r>
        <w:rPr>
          <w:rFonts w:hint="eastAsia" w:ascii="Times New Roman" w:hAnsi="Times New Roman" w:eastAsia="宋体" w:cs="Times New Roman"/>
          <w:szCs w:val="21"/>
          <w:highlight w:val="none"/>
        </w:rPr>
        <w:t>其他与预制混凝土构件生产和质量有关的重要文件资料</w:t>
      </w:r>
      <w:r>
        <w:rPr>
          <w:rFonts w:hint="eastAsia" w:cs="Times New Roman"/>
          <w:szCs w:val="21"/>
          <w:highlight w:val="none"/>
          <w:lang w:eastAsia="zh-CN"/>
        </w:rPr>
        <w:t>。</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8</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预制混凝土构件生产单位移交项目的产品质量证明文件除特殊情况外仅需提供以下内容：</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产品合格证；</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混凝土强度检测报告；</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预制混凝土构件用预应力材料、钢筋机械连接件等主材合格证及复检报告；</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4</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简支受弯预制混凝土构件的结构性能检验报告；</w:t>
      </w:r>
    </w:p>
    <w:p>
      <w:pPr>
        <w:spacing w:line="240" w:lineRule="auto"/>
        <w:ind w:firstLine="440" w:firstLineChars="200"/>
        <w:rPr>
          <w:rFonts w:hint="eastAsia" w:ascii="Times New Roman" w:hAnsi="Times New Roman" w:eastAsia="宋体" w:cs="Times New Roman"/>
          <w:szCs w:val="21"/>
          <w:highlight w:val="none"/>
        </w:rPr>
      </w:pPr>
    </w:p>
    <w:p>
      <w:pPr>
        <w:spacing w:line="240" w:lineRule="auto"/>
        <w:ind w:firstLine="440" w:firstLineChars="200"/>
        <w:rPr>
          <w:rFonts w:hint="eastAsia" w:ascii="Times New Roman" w:hAnsi="Times New Roman" w:eastAsia="宋体" w:cs="Times New Roman"/>
          <w:szCs w:val="21"/>
          <w:highlight w:val="none"/>
        </w:rPr>
      </w:pPr>
    </w:p>
    <w:p>
      <w:pPr>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br w:type="page"/>
      </w:r>
    </w:p>
    <w:p>
      <w:pPr>
        <w:keepNext/>
        <w:keepLines/>
        <w:spacing w:before="360" w:after="360" w:line="240" w:lineRule="auto"/>
        <w:jc w:val="center"/>
        <w:outlineLvl w:val="0"/>
        <w:rPr>
          <w:rStyle w:val="23"/>
          <w:rFonts w:hint="default" w:ascii="宋体" w:hAnsi="宋体" w:eastAsia="宋体" w:cs="宋体"/>
          <w:b w:val="0"/>
          <w:bCs w:val="0"/>
          <w:sz w:val="28"/>
          <w:szCs w:val="28"/>
          <w:highlight w:val="none"/>
          <w:lang w:val="en-US" w:eastAsia="zh-CN"/>
        </w:rPr>
      </w:pPr>
      <w:bookmarkStart w:id="447" w:name="_Toc17146"/>
      <w:bookmarkStart w:id="448" w:name="_Toc7565"/>
      <w:bookmarkStart w:id="449" w:name="_Toc314"/>
      <w:r>
        <w:rPr>
          <w:rStyle w:val="23"/>
          <w:rFonts w:hint="default" w:ascii="Times New Roman" w:hAnsi="Times New Roman" w:eastAsia="黑体" w:cs="Times New Roman"/>
          <w:b/>
          <w:bCs/>
          <w:sz w:val="28"/>
          <w:szCs w:val="28"/>
          <w:highlight w:val="none"/>
          <w:lang w:val="en-US" w:eastAsia="zh-CN"/>
        </w:rPr>
        <w:t>9</w:t>
      </w:r>
      <w:r>
        <w:rPr>
          <w:rStyle w:val="23"/>
          <w:rFonts w:hint="eastAsia" w:ascii="宋体" w:hAnsi="宋体" w:eastAsia="宋体"/>
          <w:b w:val="0"/>
          <w:bCs w:val="0"/>
          <w:sz w:val="28"/>
          <w:szCs w:val="28"/>
          <w:highlight w:val="none"/>
          <w:lang w:val="en-US" w:eastAsia="zh-CN"/>
        </w:rPr>
        <w:t xml:space="preserve"> </w:t>
      </w:r>
      <w:r>
        <w:rPr>
          <w:rStyle w:val="23"/>
          <w:rFonts w:hint="eastAsia" w:ascii="宋体" w:hAnsi="宋体" w:eastAsia="宋体" w:cs="宋体"/>
          <w:b w:val="0"/>
          <w:bCs w:val="0"/>
          <w:sz w:val="28"/>
          <w:szCs w:val="28"/>
          <w:highlight w:val="none"/>
          <w:lang w:val="en-US" w:eastAsia="zh-CN"/>
        </w:rPr>
        <w:t xml:space="preserve"> 安全生产与环境保护</w:t>
      </w:r>
      <w:bookmarkEnd w:id="447"/>
      <w:bookmarkEnd w:id="448"/>
      <w:bookmarkEnd w:id="449"/>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450" w:name="_Toc154586204"/>
      <w:bookmarkStart w:id="451" w:name="_Toc17847"/>
      <w:bookmarkStart w:id="452" w:name="_Toc30623"/>
      <w:bookmarkStart w:id="453" w:name="_Toc153205510"/>
      <w:bookmarkStart w:id="454" w:name="_Toc143007045"/>
      <w:bookmarkStart w:id="455" w:name="_Toc117169887"/>
      <w:bookmarkStart w:id="456" w:name="_Toc11702"/>
      <w:bookmarkStart w:id="457" w:name="_Toc116581587"/>
      <w:bookmarkStart w:id="458" w:name="_Toc91852658"/>
      <w:bookmarkStart w:id="459" w:name="_Toc116895399"/>
      <w:r>
        <w:rPr>
          <w:rFonts w:hint="default" w:ascii="Times New Roman" w:hAnsi="Times New Roman" w:eastAsia="黑体" w:cs="Times New Roman"/>
          <w:b/>
          <w:bCs w:val="0"/>
          <w:sz w:val="21"/>
          <w:szCs w:val="21"/>
          <w:highlight w:val="none"/>
          <w:lang w:val="en-US" w:eastAsia="zh-CN"/>
        </w:rPr>
        <w:t>9</w:t>
      </w:r>
      <w:r>
        <w:rPr>
          <w:rFonts w:hint="eastAsia" w:ascii="宋体" w:hAnsi="宋体" w:eastAsia="宋体" w:cs="宋体"/>
          <w:b/>
          <w:bCs w:val="0"/>
          <w:sz w:val="21"/>
          <w:szCs w:val="21"/>
          <w:highlight w:val="none"/>
          <w:lang w:val="en-US" w:eastAsia="zh-CN"/>
        </w:rPr>
        <w:t>.</w:t>
      </w:r>
      <w:r>
        <w:rPr>
          <w:rFonts w:hint="default" w:ascii="Times New Roman" w:hAnsi="Times New Roman" w:eastAsia="黑体" w:cs="Times New Roman"/>
          <w:b/>
          <w:bCs w:val="0"/>
          <w:sz w:val="21"/>
          <w:szCs w:val="21"/>
          <w:highlight w:val="none"/>
          <w:lang w:val="en-US" w:eastAsia="zh-CN"/>
        </w:rPr>
        <w:t>1</w:t>
      </w:r>
      <w:r>
        <w:rPr>
          <w:rFonts w:hint="eastAsia" w:ascii="黑体" w:hAnsi="黑体" w:eastAsia="黑体"/>
          <w:b w:val="0"/>
          <w:sz w:val="21"/>
          <w:szCs w:val="21"/>
          <w:highlight w:val="none"/>
          <w:lang w:val="en-US" w:eastAsia="zh-CN"/>
        </w:rPr>
        <w:t xml:space="preserve">  安 </w:t>
      </w:r>
      <w:r>
        <w:rPr>
          <w:rFonts w:hint="eastAsia" w:ascii="黑体" w:hAnsi="黑体" w:eastAsia="黑体" w:cs="黑体"/>
          <w:b w:val="0"/>
          <w:bCs/>
          <w:kern w:val="2"/>
          <w:sz w:val="21"/>
          <w:szCs w:val="21"/>
          <w:highlight w:val="none"/>
          <w:lang w:val="en-US" w:eastAsia="zh-CN" w:bidi="ar-SA"/>
        </w:rPr>
        <w:t>全 生</w:t>
      </w:r>
      <w:r>
        <w:rPr>
          <w:rFonts w:hint="eastAsia" w:ascii="黑体" w:hAnsi="黑体" w:eastAsia="黑体"/>
          <w:b w:val="0"/>
          <w:sz w:val="21"/>
          <w:szCs w:val="21"/>
          <w:highlight w:val="none"/>
          <w:lang w:val="en-US" w:eastAsia="zh-CN"/>
        </w:rPr>
        <w:t xml:space="preserve"> 产</w:t>
      </w:r>
      <w:bookmarkEnd w:id="450"/>
      <w:bookmarkEnd w:id="451"/>
      <w:bookmarkEnd w:id="452"/>
      <w:bookmarkEnd w:id="453"/>
      <w:bookmarkEnd w:id="454"/>
      <w:bookmarkEnd w:id="455"/>
      <w:bookmarkEnd w:id="456"/>
      <w:bookmarkEnd w:id="457"/>
      <w:bookmarkEnd w:id="458"/>
      <w:bookmarkEnd w:id="459"/>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预制混凝土构件生产单位应贯彻国家安全生产管理，坚持“安全第一、预防为主”的方针，遵守安全生产相关法律法规，加强管理，确保安全生产，并应具备符合国家规定的安全生产条件。</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预制混凝土构件生产单位应建立、健全安全生产责任制，制定生产过程中的安全生产规章制度和设备安全操作规程，完善安全生产条件，确保安全生产。</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预制混凝土构件生产单位应对从业人员进行安全生产教育和培训，未经安全生产教育和培训合格的从业人员不应上岗作业。特种作业人员必须按照国家有关规定，取得特种作业操作资格证书后方可上岗作业。</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Times New Roman" w:hAnsi="Times New Roman" w:eastAsia="宋体" w:cs="Times New Roman"/>
          <w:szCs w:val="21"/>
          <w:highlight w:val="none"/>
        </w:rPr>
        <w:t xml:space="preserve">  预制混凝土构件生产单位使用的机械设备，其设计、制造、安装、监督检查、维修、检测和使用应符合国家标准或者行业标准的规定。起重机械的使用、检验与管理应按现行国家标准《起重机械安全规程》GB</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6067.1的有关规定执行。</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Times New Roman" w:hAnsi="Times New Roman" w:eastAsia="宋体" w:cs="Times New Roman"/>
          <w:szCs w:val="21"/>
          <w:highlight w:val="none"/>
        </w:rPr>
        <w:t xml:space="preserve">  预制混凝土构件生产单位应制定吊具、吊索及其他工具的使用、检验、维护与报废管理流程及安全使用手册，并应确保吊具、吊索及其他工具处于安全受控状态。</w:t>
      </w:r>
    </w:p>
    <w:p>
      <w:pPr>
        <w:spacing w:line="240" w:lineRule="auto"/>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吊具、吊索使用前应进行检查，检查合格后方可使用，检查项目应包含下列内容：</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1</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吊具、吊索应在专业检查有效期内；</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2</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额定起重量不应小于起重物重量；</w:t>
      </w:r>
    </w:p>
    <w:p>
      <w:pPr>
        <w:spacing w:line="240" w:lineRule="auto"/>
        <w:ind w:firstLine="440" w:firstLineChars="200"/>
        <w:rPr>
          <w:rFonts w:hint="eastAsia" w:ascii="Times New Roman" w:hAnsi="Times New Roman" w:eastAsia="宋体" w:cs="Times New Roman"/>
          <w:szCs w:val="21"/>
          <w:highlight w:val="none"/>
        </w:rPr>
      </w:pPr>
      <w:r>
        <w:rPr>
          <w:rFonts w:hint="eastAsia" w:ascii="Times New Roman" w:hAnsi="Times New Roman" w:eastAsia="宋体" w:cs="Times New Roman"/>
          <w:b/>
          <w:bCs/>
          <w:szCs w:val="21"/>
          <w:highlight w:val="none"/>
        </w:rPr>
        <w:t>3</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外观应无明显扭转或变形。</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在使用过程中，发现吊具、吊索存在问题不能再继续使用时，应作报废处理，并应标识或隔离。</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Times New Roman" w:hAnsi="Times New Roman" w:eastAsia="宋体" w:cs="Times New Roman"/>
          <w:szCs w:val="21"/>
          <w:highlight w:val="none"/>
        </w:rPr>
        <w:t xml:space="preserve">  预制混凝土构件生产单位应制定安全生产应急预案，应为进入生产现场的人员配备符合国家标准和行业标准的劳动防护用品。</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7</w:t>
      </w:r>
      <w:r>
        <w:rPr>
          <w:rFonts w:hint="eastAsia" w:ascii="Times New Roman" w:hAnsi="Times New Roman" w:eastAsia="宋体" w:cs="Times New Roman"/>
          <w:szCs w:val="21"/>
          <w:highlight w:val="none"/>
        </w:rPr>
        <w:t xml:space="preserve">  预制混凝土构件生产单位应制定消防管理制度，配备必要的消防设施和灭火器材，动火作业应有审批手续，并做好安全监护工作。</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8</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厂区及车间应按生产需求布置合理、有序、整洁的警示牌。预制混凝土构件生产材料、预制混凝土构件半成品和成品，用于存放的垫木或存放架须满足安全要求，并应分类堆放、码放整齐、牢固并挂标识牌，厂区道路平整、通畅牢固，满足运输要求。</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9</w:t>
      </w:r>
      <w:r>
        <w:rPr>
          <w:rFonts w:hint="eastAsia" w:ascii="Times New Roman" w:hAnsi="Times New Roman" w:eastAsia="宋体" w:cs="Times New Roman"/>
          <w:szCs w:val="21"/>
          <w:highlight w:val="none"/>
        </w:rPr>
        <w:t xml:space="preserve"> </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厂区内危险品仓库应在远离生产区域外单独设置，设置点应符合《建筑设计防火规范》GB</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50016、《爆炸危险环境电力装置设计规范》GB</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50058、《石油化工可燃气体和有毒气体检测报警设计规范》GB/T</w:t>
      </w:r>
      <w:r>
        <w:rPr>
          <w:rFonts w:hint="eastAsia" w:cs="Times New Roman"/>
          <w:szCs w:val="21"/>
          <w:highlight w:val="none"/>
          <w:lang w:val="en-US" w:eastAsia="zh-CN"/>
        </w:rPr>
        <w:t xml:space="preserve"> </w:t>
      </w:r>
      <w:r>
        <w:rPr>
          <w:rFonts w:hint="eastAsia" w:ascii="Times New Roman" w:hAnsi="Times New Roman" w:eastAsia="宋体" w:cs="Times New Roman"/>
          <w:szCs w:val="21"/>
          <w:highlight w:val="none"/>
        </w:rPr>
        <w:t>50493的规定。</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10</w:t>
      </w:r>
      <w:r>
        <w:rPr>
          <w:rFonts w:hint="eastAsia" w:ascii="Times New Roman" w:hAnsi="Times New Roman" w:eastAsia="宋体" w:cs="Times New Roman"/>
          <w:szCs w:val="21"/>
          <w:highlight w:val="none"/>
        </w:rPr>
        <w:t xml:space="preserve">  厂区室外龙门吊应加强安全防护并与生活区保持安全距离。</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11</w:t>
      </w:r>
      <w:r>
        <w:rPr>
          <w:rFonts w:hint="eastAsia" w:ascii="Times New Roman" w:hAnsi="Times New Roman" w:eastAsia="宋体" w:cs="Times New Roman"/>
          <w:szCs w:val="21"/>
          <w:highlight w:val="none"/>
        </w:rPr>
        <w:t xml:space="preserve">  预制混凝土构件生产单位应当建立</w:t>
      </w:r>
      <w:r>
        <w:rPr>
          <w:rFonts w:hint="eastAsia" w:cs="Times New Roman"/>
          <w:szCs w:val="21"/>
          <w:highlight w:val="none"/>
          <w:lang w:eastAsia="zh-CN"/>
        </w:rPr>
        <w:t>、</w:t>
      </w:r>
      <w:r>
        <w:rPr>
          <w:rFonts w:hint="eastAsia" w:ascii="Times New Roman" w:hAnsi="Times New Roman" w:eastAsia="宋体" w:cs="Times New Roman"/>
          <w:szCs w:val="21"/>
          <w:highlight w:val="none"/>
        </w:rPr>
        <w:t>健全职业病防治责任制，加强对职业病防治的管理，提高职业病防治水平。实行分类管理、综合治理。</w:t>
      </w:r>
    </w:p>
    <w:p>
      <w:pPr>
        <w:pStyle w:val="5"/>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1"/>
        <w:rPr>
          <w:rFonts w:hint="eastAsia" w:ascii="黑体" w:hAnsi="黑体" w:eastAsia="黑体"/>
          <w:b w:val="0"/>
          <w:sz w:val="21"/>
          <w:szCs w:val="21"/>
          <w:highlight w:val="none"/>
          <w:lang w:val="en-US" w:eastAsia="zh-CN"/>
        </w:rPr>
      </w:pPr>
      <w:bookmarkStart w:id="460" w:name="_Toc91852659"/>
      <w:bookmarkStart w:id="461" w:name="_Toc116581588"/>
      <w:bookmarkStart w:id="462" w:name="_Toc154586205"/>
      <w:bookmarkStart w:id="463" w:name="_Toc13151"/>
      <w:bookmarkStart w:id="464" w:name="_Toc143007046"/>
      <w:bookmarkStart w:id="465" w:name="_Toc117169888"/>
      <w:bookmarkStart w:id="466" w:name="_Toc17278"/>
      <w:bookmarkStart w:id="467" w:name="_Toc116895400"/>
      <w:bookmarkStart w:id="468" w:name="_Toc27767"/>
      <w:bookmarkStart w:id="469" w:name="_Toc153205511"/>
      <w:r>
        <w:rPr>
          <w:rFonts w:hint="eastAsia" w:ascii="Times New Roman" w:hAnsi="Times New Roman" w:eastAsia="黑体" w:cs="Times New Roman"/>
          <w:b/>
          <w:bCs w:val="0"/>
          <w:sz w:val="21"/>
          <w:szCs w:val="21"/>
          <w:highlight w:val="none"/>
          <w:lang w:val="en-US" w:eastAsia="zh-CN"/>
        </w:rPr>
        <w:t>9</w:t>
      </w:r>
      <w:r>
        <w:rPr>
          <w:rFonts w:hint="eastAsia" w:ascii="宋体" w:hAnsi="宋体" w:eastAsia="宋体" w:cs="宋体"/>
          <w:b/>
          <w:bCs w:val="0"/>
          <w:sz w:val="21"/>
          <w:szCs w:val="21"/>
          <w:highlight w:val="none"/>
          <w:lang w:val="en-US" w:eastAsia="zh-CN"/>
        </w:rPr>
        <w:t>.</w:t>
      </w:r>
      <w:r>
        <w:rPr>
          <w:rFonts w:hint="eastAsia" w:ascii="Times New Roman" w:hAnsi="Times New Roman" w:eastAsia="黑体" w:cs="Times New Roman"/>
          <w:b/>
          <w:bCs w:val="0"/>
          <w:sz w:val="21"/>
          <w:szCs w:val="21"/>
          <w:highlight w:val="none"/>
          <w:lang w:val="en-US" w:eastAsia="zh-CN"/>
        </w:rPr>
        <w:t>2</w:t>
      </w:r>
      <w:r>
        <w:rPr>
          <w:rFonts w:hint="eastAsia" w:ascii="黑体" w:hAnsi="黑体" w:eastAsia="黑体"/>
          <w:b w:val="0"/>
          <w:sz w:val="21"/>
          <w:szCs w:val="21"/>
          <w:highlight w:val="none"/>
          <w:lang w:val="en-US" w:eastAsia="zh-CN"/>
        </w:rPr>
        <w:t xml:space="preserve">  环 </w:t>
      </w:r>
      <w:r>
        <w:rPr>
          <w:rFonts w:hint="eastAsia" w:ascii="黑体" w:hAnsi="黑体" w:eastAsia="黑体" w:cs="黑体"/>
          <w:b w:val="0"/>
          <w:bCs/>
          <w:kern w:val="2"/>
          <w:sz w:val="21"/>
          <w:szCs w:val="21"/>
          <w:highlight w:val="none"/>
          <w:lang w:val="en-US" w:eastAsia="zh-CN" w:bidi="ar-SA"/>
        </w:rPr>
        <w:t>境 保</w:t>
      </w:r>
      <w:r>
        <w:rPr>
          <w:rFonts w:hint="eastAsia" w:ascii="黑体" w:hAnsi="黑体" w:eastAsia="黑体"/>
          <w:b w:val="0"/>
          <w:sz w:val="21"/>
          <w:szCs w:val="21"/>
          <w:highlight w:val="none"/>
          <w:lang w:val="en-US" w:eastAsia="zh-CN"/>
        </w:rPr>
        <w:t xml:space="preserve"> 护</w:t>
      </w:r>
      <w:bookmarkEnd w:id="460"/>
      <w:bookmarkEnd w:id="461"/>
      <w:bookmarkEnd w:id="462"/>
      <w:bookmarkEnd w:id="463"/>
      <w:bookmarkEnd w:id="464"/>
      <w:bookmarkEnd w:id="465"/>
      <w:bookmarkEnd w:id="466"/>
      <w:bookmarkEnd w:id="467"/>
      <w:bookmarkEnd w:id="468"/>
      <w:bookmarkEnd w:id="469"/>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1</w:t>
      </w:r>
      <w:r>
        <w:rPr>
          <w:rFonts w:hint="eastAsia" w:ascii="Times New Roman" w:hAnsi="Times New Roman" w:eastAsia="宋体" w:cs="Times New Roman"/>
          <w:szCs w:val="21"/>
          <w:highlight w:val="none"/>
        </w:rPr>
        <w:t xml:space="preserve">  预制混凝土构件生产单位应通过当地环保部门的环评验收，制定厂内环境保护计划，落实责任人员并组织实施。</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szCs w:val="21"/>
          <w:highlight w:val="none"/>
        </w:rPr>
        <w:t xml:space="preserve">  预制混凝土构件生产单位应加强对生产污水的管理，厂内应设置污水处理设施；搅拌站和生产车间冲洗区产生的污水，经沉淀和过滤后的污水宜进行循环再利用，沉淀后的混凝土废渣干固后可作固体废物消纳处理。</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3</w:t>
      </w:r>
      <w:r>
        <w:rPr>
          <w:rFonts w:hint="eastAsia" w:ascii="Times New Roman" w:hAnsi="Times New Roman" w:eastAsia="宋体" w:cs="Times New Roman"/>
          <w:szCs w:val="21"/>
          <w:highlight w:val="none"/>
        </w:rPr>
        <w:t xml:space="preserve">  预制混凝土构件生产现场应设置废弃物临时置放点，并指定专人管理。生产过程中，应采取建筑垃圾减量化措施。生产过程中产生的建筑垃圾应进行分类收集，不可循环使用的建筑垃圾应集中收集，并应及时清运至有关部门制定的地点。可循环使用的建筑垃圾，应加强回收利用，并应做好记录。</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4</w:t>
      </w:r>
      <w:r>
        <w:rPr>
          <w:rFonts w:hint="eastAsia" w:ascii="Times New Roman" w:hAnsi="Times New Roman" w:eastAsia="宋体" w:cs="Times New Roman"/>
          <w:szCs w:val="21"/>
          <w:highlight w:val="none"/>
        </w:rPr>
        <w:t xml:space="preserve">  预制混凝土构件生产单位应有减少扬尘污染措施。生产过程中，应采取防尘、降尘措施。在生产过程中产生粉尘的场所，设计成密闭的生产工艺和设备，避免敞开式操作，并应设置除尘设施。厂内现场的主要道路，宜进行硬化处理或采取其他扬尘控制措施。可能造成扬尘的露天堆场材料，应采取扬尘控制措施。</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5</w:t>
      </w:r>
      <w:r>
        <w:rPr>
          <w:rFonts w:hint="eastAsia" w:ascii="Times New Roman" w:hAnsi="Times New Roman" w:eastAsia="宋体" w:cs="Times New Roman"/>
          <w:szCs w:val="21"/>
          <w:highlight w:val="none"/>
        </w:rPr>
        <w:t xml:space="preserve">  预制混凝土构件生产单位应采取有效的隔声、消声等降低噪声的措施，使噪声和振动符合现行国家标准《工业企业厂界环境噪声排放标准》GB 12348的规定。总体布置综合考虑声学因素，合理规划，利用地形、建筑物、绿化等阻挡噪声传播。并合理分隔吵闹区和安静区，避免或减少高噪声设备对安静区的影响。</w:t>
      </w:r>
    </w:p>
    <w:p>
      <w:pPr>
        <w:spacing w:line="240" w:lineRule="auto"/>
        <w:rPr>
          <w:rFonts w:hint="eastAsia" w:ascii="Times New Roman" w:hAnsi="Times New Roman" w:eastAsia="宋体" w:cs="Times New Roman"/>
          <w:szCs w:val="21"/>
          <w:highlight w:val="none"/>
        </w:rPr>
      </w:pPr>
      <w:r>
        <w:rPr>
          <w:rFonts w:hint="eastAsia" w:cs="Times New Roman"/>
          <w:b/>
          <w:bCs/>
          <w:kern w:val="2"/>
          <w:sz w:val="21"/>
          <w:szCs w:val="21"/>
          <w:highlight w:val="none"/>
          <w:lang w:val="en-US" w:eastAsia="zh-CN" w:bidi="ar-SA"/>
        </w:rPr>
        <w:t>9</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6</w:t>
      </w:r>
      <w:r>
        <w:rPr>
          <w:rFonts w:hint="eastAsia" w:ascii="Times New Roman" w:hAnsi="Times New Roman" w:eastAsia="宋体" w:cs="Times New Roman"/>
          <w:szCs w:val="21"/>
          <w:highlight w:val="none"/>
        </w:rPr>
        <w:t xml:space="preserve">  预制混凝土构件生产单位宜完善绿色低碳工厂制度，监督生产运行满足绿色低碳相关要求。同时，厂内建筑应满足国家或地方相关法律法规及标准的要求，并从材料、机械、采光照明、绿化及场地、再生资源及能源利用等方面进行节材、节能、节水、节地及可再生能源利用。</w:t>
      </w:r>
    </w:p>
    <w:p>
      <w:pPr>
        <w:spacing w:line="240" w:lineRule="auto"/>
        <w:rPr>
          <w:rFonts w:hint="eastAsia" w:ascii="Times New Roman" w:hAnsi="Times New Roman" w:eastAsia="宋体" w:cs="Times New Roman"/>
          <w:szCs w:val="21"/>
          <w:highlight w:val="none"/>
        </w:rPr>
      </w:pPr>
    </w:p>
    <w:p>
      <w:pPr>
        <w:spacing w:line="240" w:lineRule="auto"/>
        <w:rPr>
          <w:rFonts w:hint="eastAsia" w:ascii="Times New Roman" w:hAnsi="Times New Roman" w:eastAsia="宋体" w:cs="Times New Roman"/>
          <w:szCs w:val="21"/>
          <w:highlight w:val="none"/>
        </w:rPr>
      </w:pPr>
    </w:p>
    <w:p>
      <w:pPr>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br w:type="page"/>
      </w:r>
    </w:p>
    <w:p>
      <w:pPr>
        <w:keepNext/>
        <w:keepLines/>
        <w:spacing w:before="360" w:after="360" w:line="240" w:lineRule="auto"/>
        <w:jc w:val="center"/>
        <w:outlineLvl w:val="0"/>
        <w:rPr>
          <w:rStyle w:val="23"/>
          <w:rFonts w:ascii="宋体" w:hAnsi="宋体" w:eastAsia="宋体"/>
          <w:b w:val="0"/>
          <w:bCs w:val="0"/>
          <w:sz w:val="28"/>
          <w:szCs w:val="28"/>
          <w:highlight w:val="none"/>
        </w:rPr>
      </w:pPr>
      <w:bookmarkStart w:id="470" w:name="_Toc24663"/>
      <w:bookmarkStart w:id="471" w:name="_Toc31616"/>
      <w:bookmarkStart w:id="472" w:name="_Toc5626"/>
      <w:bookmarkStart w:id="473" w:name="_Toc93999737"/>
      <w:bookmarkStart w:id="474" w:name="_Toc19755"/>
      <w:bookmarkStart w:id="475" w:name="_Toc82523981"/>
      <w:bookmarkStart w:id="476" w:name="_Toc27633"/>
      <w:bookmarkStart w:id="477" w:name="_Toc93998976"/>
      <w:r>
        <w:rPr>
          <w:rStyle w:val="23"/>
          <w:rFonts w:hint="eastAsia" w:ascii="宋体" w:hAnsi="宋体" w:eastAsia="宋体"/>
          <w:b w:val="0"/>
          <w:bCs w:val="0"/>
          <w:sz w:val="28"/>
          <w:szCs w:val="28"/>
          <w:highlight w:val="none"/>
        </w:rPr>
        <w:t>本标准用词说明</w:t>
      </w:r>
      <w:bookmarkEnd w:id="470"/>
      <w:bookmarkEnd w:id="471"/>
      <w:bookmarkEnd w:id="472"/>
      <w:bookmarkEnd w:id="473"/>
      <w:bookmarkEnd w:id="474"/>
      <w:bookmarkEnd w:id="475"/>
      <w:bookmarkEnd w:id="476"/>
      <w:bookmarkEnd w:id="477"/>
    </w:p>
    <w:p>
      <w:pPr>
        <w:spacing w:line="240" w:lineRule="auto"/>
        <w:ind w:firstLine="440" w:firstLineChars="200"/>
        <w:jc w:val="left"/>
        <w:rPr>
          <w:bCs/>
          <w:szCs w:val="21"/>
          <w:highlight w:val="none"/>
        </w:rPr>
      </w:pPr>
      <w:r>
        <w:rPr>
          <w:rFonts w:hint="eastAsia"/>
          <w:b/>
          <w:szCs w:val="21"/>
          <w:highlight w:val="none"/>
        </w:rPr>
        <w:t>1</w:t>
      </w:r>
      <w:r>
        <w:rPr>
          <w:rFonts w:hint="eastAsia"/>
          <w:bCs/>
          <w:szCs w:val="21"/>
          <w:highlight w:val="none"/>
        </w:rPr>
        <w:t xml:space="preserve"> </w:t>
      </w:r>
      <w:r>
        <w:rPr>
          <w:bCs/>
          <w:szCs w:val="21"/>
          <w:highlight w:val="none"/>
        </w:rPr>
        <w:t xml:space="preserve"> </w:t>
      </w:r>
      <w:r>
        <w:rPr>
          <w:rFonts w:hint="eastAsia"/>
          <w:bCs/>
          <w:szCs w:val="21"/>
          <w:highlight w:val="none"/>
        </w:rPr>
        <w:t>为了便于在执行本标准条文时区别对待，对要求严格程度不同的用词说明如下：</w:t>
      </w:r>
    </w:p>
    <w:p>
      <w:pPr>
        <w:spacing w:line="240" w:lineRule="auto"/>
        <w:ind w:firstLine="660" w:firstLineChars="300"/>
        <w:jc w:val="left"/>
        <w:rPr>
          <w:rFonts w:cs="宋体"/>
          <w:bCs/>
          <w:szCs w:val="21"/>
          <w:highlight w:val="none"/>
        </w:rPr>
      </w:pPr>
      <w:r>
        <w:rPr>
          <w:rFonts w:hint="eastAsia" w:cs="宋体"/>
          <w:b/>
          <w:szCs w:val="21"/>
          <w:highlight w:val="none"/>
        </w:rPr>
        <w:t>1</w:t>
      </w:r>
      <w:r>
        <w:rPr>
          <w:rFonts w:hint="eastAsia" w:cs="宋体"/>
          <w:bCs/>
          <w:szCs w:val="21"/>
          <w:highlight w:val="none"/>
        </w:rPr>
        <w:t>）表示很严格，非这样做不可的用词：</w:t>
      </w:r>
    </w:p>
    <w:p>
      <w:pPr>
        <w:spacing w:line="240" w:lineRule="auto"/>
        <w:ind w:firstLine="990" w:firstLineChars="450"/>
        <w:jc w:val="left"/>
        <w:outlineLvl w:val="9"/>
        <w:rPr>
          <w:rFonts w:cs="宋体"/>
          <w:szCs w:val="21"/>
          <w:highlight w:val="none"/>
        </w:rPr>
      </w:pPr>
      <w:r>
        <w:rPr>
          <w:rFonts w:hint="eastAsia" w:cs="宋体"/>
          <w:szCs w:val="21"/>
          <w:highlight w:val="none"/>
        </w:rPr>
        <w:t>正面词采用“必须”，反面词采用“严禁”；</w:t>
      </w:r>
    </w:p>
    <w:p>
      <w:pPr>
        <w:spacing w:line="240" w:lineRule="auto"/>
        <w:ind w:firstLine="660" w:firstLineChars="300"/>
        <w:jc w:val="left"/>
        <w:outlineLvl w:val="9"/>
        <w:rPr>
          <w:rFonts w:eastAsia="黑体" w:cs="黑体"/>
          <w:szCs w:val="21"/>
          <w:highlight w:val="none"/>
        </w:rPr>
      </w:pPr>
      <w:r>
        <w:rPr>
          <w:rFonts w:hint="eastAsia" w:eastAsia="黑体"/>
          <w:b/>
          <w:bCs/>
          <w:szCs w:val="21"/>
          <w:highlight w:val="none"/>
        </w:rPr>
        <w:t>2</w:t>
      </w:r>
      <w:r>
        <w:rPr>
          <w:rFonts w:hint="eastAsia" w:eastAsia="黑体"/>
          <w:bCs/>
          <w:szCs w:val="21"/>
          <w:highlight w:val="none"/>
        </w:rPr>
        <w:t>）</w:t>
      </w:r>
      <w:r>
        <w:rPr>
          <w:rFonts w:hint="eastAsia" w:cs="宋体"/>
          <w:szCs w:val="21"/>
          <w:highlight w:val="none"/>
        </w:rPr>
        <w:t>表示严格，在正常情况下均应这样做的用词：</w:t>
      </w:r>
    </w:p>
    <w:p>
      <w:pPr>
        <w:spacing w:line="240" w:lineRule="auto"/>
        <w:ind w:firstLine="440" w:firstLineChars="200"/>
        <w:jc w:val="left"/>
        <w:rPr>
          <w:rFonts w:cs="宋体"/>
          <w:szCs w:val="21"/>
          <w:highlight w:val="none"/>
        </w:rPr>
      </w:pPr>
      <w:r>
        <w:rPr>
          <w:rFonts w:hint="eastAsia" w:cs="宋体"/>
          <w:szCs w:val="21"/>
          <w:highlight w:val="none"/>
        </w:rPr>
        <w:t>正面词采用“应”，反面词采用“不应”或“不得”；</w:t>
      </w:r>
    </w:p>
    <w:p>
      <w:pPr>
        <w:spacing w:line="240" w:lineRule="auto"/>
        <w:ind w:firstLine="660" w:firstLineChars="300"/>
        <w:jc w:val="left"/>
        <w:outlineLvl w:val="9"/>
        <w:rPr>
          <w:rFonts w:eastAsia="黑体" w:cs="黑体"/>
          <w:szCs w:val="21"/>
          <w:highlight w:val="none"/>
        </w:rPr>
      </w:pPr>
      <w:r>
        <w:rPr>
          <w:rFonts w:hint="eastAsia" w:eastAsia="黑体"/>
          <w:b/>
          <w:bCs/>
          <w:szCs w:val="21"/>
          <w:highlight w:val="none"/>
        </w:rPr>
        <w:t>3</w:t>
      </w:r>
      <w:r>
        <w:rPr>
          <w:rFonts w:hint="eastAsia" w:eastAsia="黑体"/>
          <w:bCs/>
          <w:szCs w:val="21"/>
          <w:highlight w:val="none"/>
        </w:rPr>
        <w:t>）</w:t>
      </w:r>
      <w:r>
        <w:rPr>
          <w:rFonts w:hint="eastAsia" w:cs="宋体"/>
          <w:szCs w:val="21"/>
          <w:highlight w:val="none"/>
        </w:rPr>
        <w:t>表示允许稍有选择，在条件许可时首先应这样做的用词：</w:t>
      </w:r>
    </w:p>
    <w:p>
      <w:pPr>
        <w:spacing w:line="240" w:lineRule="auto"/>
        <w:ind w:firstLine="990" w:firstLineChars="450"/>
        <w:jc w:val="left"/>
        <w:rPr>
          <w:rFonts w:cs="宋体"/>
          <w:szCs w:val="21"/>
          <w:highlight w:val="none"/>
        </w:rPr>
      </w:pPr>
      <w:r>
        <w:rPr>
          <w:rFonts w:hint="eastAsia" w:cs="宋体"/>
          <w:szCs w:val="21"/>
          <w:highlight w:val="none"/>
        </w:rPr>
        <w:t>正面词采用“宜”，反面词采用“不宜”；</w:t>
      </w:r>
    </w:p>
    <w:p>
      <w:pPr>
        <w:spacing w:line="240" w:lineRule="auto"/>
        <w:ind w:firstLine="660" w:firstLineChars="300"/>
        <w:jc w:val="left"/>
        <w:outlineLvl w:val="9"/>
        <w:rPr>
          <w:rFonts w:cs="宋体"/>
          <w:szCs w:val="21"/>
          <w:highlight w:val="none"/>
        </w:rPr>
      </w:pPr>
      <w:r>
        <w:rPr>
          <w:rFonts w:hint="eastAsia" w:eastAsia="黑体"/>
          <w:b/>
          <w:bCs/>
          <w:szCs w:val="21"/>
          <w:highlight w:val="none"/>
        </w:rPr>
        <w:t>4</w:t>
      </w:r>
      <w:r>
        <w:rPr>
          <w:rFonts w:hint="eastAsia" w:eastAsia="黑体"/>
          <w:bCs/>
          <w:szCs w:val="21"/>
          <w:highlight w:val="none"/>
        </w:rPr>
        <w:t>）</w:t>
      </w:r>
      <w:r>
        <w:rPr>
          <w:rFonts w:hint="eastAsia" w:cs="宋体"/>
          <w:szCs w:val="21"/>
          <w:highlight w:val="none"/>
        </w:rPr>
        <w:t>表示有选择，在一定条件下可以这样做的用词，采用“可”。</w:t>
      </w:r>
    </w:p>
    <w:p>
      <w:pPr>
        <w:spacing w:line="240" w:lineRule="auto"/>
        <w:ind w:left="440" w:leftChars="200" w:firstLine="0" w:firstLineChars="0"/>
        <w:jc w:val="left"/>
        <w:rPr>
          <w:rFonts w:hint="eastAsia" w:cs="宋体"/>
          <w:szCs w:val="21"/>
          <w:highlight w:val="none"/>
          <w:lang w:val="en-US" w:eastAsia="zh-CN"/>
        </w:rPr>
      </w:pPr>
      <w:r>
        <w:rPr>
          <w:rFonts w:hint="eastAsia" w:eastAsia="黑体"/>
          <w:b/>
          <w:bCs/>
          <w:szCs w:val="21"/>
          <w:highlight w:val="none"/>
        </w:rPr>
        <w:t>2</w:t>
      </w:r>
      <w:r>
        <w:rPr>
          <w:rFonts w:hint="eastAsia" w:cs="宋体"/>
          <w:szCs w:val="21"/>
          <w:highlight w:val="none"/>
        </w:rPr>
        <w:t xml:space="preserve"> </w:t>
      </w:r>
      <w:r>
        <w:rPr>
          <w:rFonts w:cs="宋体"/>
          <w:szCs w:val="21"/>
          <w:highlight w:val="none"/>
        </w:rPr>
        <w:t xml:space="preserve"> </w:t>
      </w:r>
      <w:r>
        <w:rPr>
          <w:rFonts w:hint="eastAsia" w:cs="宋体"/>
          <w:szCs w:val="21"/>
          <w:highlight w:val="none"/>
        </w:rPr>
        <w:t>本标准中指定应按其他有关标准、规范执行时，写法为</w:t>
      </w:r>
      <w:r>
        <w:rPr>
          <w:rFonts w:hint="eastAsia" w:cs="宋体"/>
          <w:szCs w:val="21"/>
          <w:highlight w:val="none"/>
          <w:lang w:eastAsia="zh-CN"/>
        </w:rPr>
        <w:t>：</w:t>
      </w:r>
      <w:r>
        <w:rPr>
          <w:rFonts w:hint="eastAsia" w:cs="宋体"/>
          <w:szCs w:val="21"/>
          <w:highlight w:val="none"/>
        </w:rPr>
        <w:t>“应符合……的规定”或“</w:t>
      </w:r>
      <w:r>
        <w:rPr>
          <w:rFonts w:hint="eastAsia" w:cs="宋体"/>
          <w:szCs w:val="21"/>
          <w:highlight w:val="none"/>
          <w:lang w:val="en-US" w:eastAsia="zh-CN"/>
        </w:rPr>
        <w:t>应按</w:t>
      </w:r>
    </w:p>
    <w:p>
      <w:pPr>
        <w:spacing w:line="240" w:lineRule="auto"/>
        <w:ind w:left="440" w:leftChars="200" w:firstLine="0" w:firstLineChars="0"/>
        <w:jc w:val="left"/>
        <w:rPr>
          <w:rFonts w:cs="宋体"/>
          <w:szCs w:val="21"/>
          <w:highlight w:val="none"/>
        </w:rPr>
      </w:pPr>
      <w:r>
        <w:rPr>
          <w:rFonts w:hint="eastAsia" w:cs="宋体"/>
          <w:szCs w:val="21"/>
          <w:highlight w:val="none"/>
        </w:rPr>
        <w:t>……</w:t>
      </w:r>
      <w:r>
        <w:rPr>
          <w:rFonts w:hint="eastAsia" w:cs="宋体"/>
          <w:szCs w:val="21"/>
          <w:highlight w:val="none"/>
          <w:lang w:val="en-US" w:eastAsia="zh-CN"/>
        </w:rPr>
        <w:t>执</w:t>
      </w:r>
      <w:r>
        <w:rPr>
          <w:rFonts w:hint="eastAsia" w:cs="宋体"/>
          <w:szCs w:val="21"/>
          <w:highlight w:val="none"/>
        </w:rPr>
        <w:t>行”。</w:t>
      </w:r>
    </w:p>
    <w:p>
      <w:pPr>
        <w:keepNext/>
        <w:keepLines/>
        <w:spacing w:before="360" w:after="360" w:line="240" w:lineRule="auto"/>
        <w:jc w:val="center"/>
        <w:outlineLvl w:val="0"/>
        <w:rPr>
          <w:rFonts w:cs="宋体"/>
          <w:bCs/>
          <w:sz w:val="28"/>
          <w:szCs w:val="28"/>
          <w:highlight w:val="none"/>
        </w:rPr>
      </w:pPr>
      <w:r>
        <w:rPr>
          <w:szCs w:val="21"/>
          <w:highlight w:val="none"/>
        </w:rPr>
        <w:br w:type="page"/>
      </w:r>
      <w:bookmarkStart w:id="478" w:name="_Toc93998977"/>
      <w:bookmarkStart w:id="479" w:name="_Toc82523982"/>
      <w:bookmarkStart w:id="480" w:name="_Toc26072"/>
      <w:bookmarkStart w:id="481" w:name="_Toc29539"/>
      <w:bookmarkStart w:id="482" w:name="_Toc93999738"/>
      <w:bookmarkStart w:id="483" w:name="_Toc31437"/>
      <w:bookmarkStart w:id="484" w:name="_Toc25092"/>
      <w:bookmarkStart w:id="485" w:name="_Toc4925"/>
      <w:bookmarkStart w:id="486" w:name="_Toc29112"/>
      <w:r>
        <w:rPr>
          <w:rFonts w:hint="eastAsia" w:cs="宋体"/>
          <w:bCs/>
          <w:sz w:val="28"/>
          <w:szCs w:val="28"/>
          <w:highlight w:val="none"/>
        </w:rPr>
        <w:t>引用标准名录</w:t>
      </w:r>
      <w:bookmarkEnd w:id="478"/>
      <w:bookmarkEnd w:id="479"/>
      <w:bookmarkEnd w:id="480"/>
      <w:bookmarkEnd w:id="481"/>
      <w:bookmarkEnd w:id="482"/>
      <w:bookmarkEnd w:id="483"/>
      <w:bookmarkEnd w:id="484"/>
      <w:bookmarkEnd w:id="485"/>
      <w:bookmarkEnd w:id="486"/>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 </w:t>
      </w:r>
      <w:r>
        <w:rPr>
          <w:rFonts w:hint="eastAsia"/>
          <w:b/>
          <w:szCs w:val="21"/>
          <w:highlight w:val="none"/>
          <w:lang w:val="en-US" w:eastAsia="zh-CN"/>
        </w:rPr>
        <w:t xml:space="preserve"> </w:t>
      </w:r>
      <w:r>
        <w:rPr>
          <w:rFonts w:hint="eastAsia"/>
          <w:szCs w:val="36"/>
          <w:highlight w:val="none"/>
        </w:rPr>
        <w:t>《混凝土结构设计规范》GB</w:t>
      </w:r>
      <w:r>
        <w:rPr>
          <w:rFonts w:hint="eastAsia"/>
          <w:szCs w:val="36"/>
          <w:highlight w:val="none"/>
          <w:lang w:val="en-US" w:eastAsia="zh-CN"/>
        </w:rPr>
        <w:t xml:space="preserve"> </w:t>
      </w:r>
      <w:r>
        <w:rPr>
          <w:rFonts w:hint="eastAsia"/>
          <w:szCs w:val="36"/>
          <w:highlight w:val="none"/>
        </w:rPr>
        <w:t>50010</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2 </w:t>
      </w:r>
      <w:r>
        <w:rPr>
          <w:rFonts w:hint="eastAsia"/>
          <w:b/>
          <w:szCs w:val="21"/>
          <w:highlight w:val="none"/>
          <w:lang w:val="en-US" w:eastAsia="zh-CN"/>
        </w:rPr>
        <w:t xml:space="preserve"> </w:t>
      </w:r>
      <w:r>
        <w:rPr>
          <w:rFonts w:hint="eastAsia"/>
          <w:szCs w:val="36"/>
          <w:highlight w:val="none"/>
        </w:rPr>
        <w:t>《钢结构设计规范》GB</w:t>
      </w:r>
      <w:r>
        <w:rPr>
          <w:rFonts w:hint="eastAsia"/>
          <w:szCs w:val="36"/>
          <w:highlight w:val="none"/>
          <w:lang w:val="en-US" w:eastAsia="zh-CN"/>
        </w:rPr>
        <w:t xml:space="preserve"> </w:t>
      </w:r>
      <w:r>
        <w:rPr>
          <w:rFonts w:hint="eastAsia"/>
          <w:szCs w:val="36"/>
          <w:highlight w:val="none"/>
        </w:rPr>
        <w:t>50017</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3 </w:t>
      </w:r>
      <w:r>
        <w:rPr>
          <w:rFonts w:hint="eastAsia"/>
          <w:b/>
          <w:szCs w:val="21"/>
          <w:highlight w:val="none"/>
          <w:lang w:val="en-US" w:eastAsia="zh-CN"/>
        </w:rPr>
        <w:t xml:space="preserve"> </w:t>
      </w:r>
      <w:r>
        <w:rPr>
          <w:rFonts w:hint="eastAsia"/>
          <w:szCs w:val="36"/>
          <w:highlight w:val="none"/>
        </w:rPr>
        <w:t>《建筑设计防火规范》GB</w:t>
      </w:r>
      <w:r>
        <w:rPr>
          <w:rFonts w:hint="eastAsia"/>
          <w:szCs w:val="36"/>
          <w:highlight w:val="none"/>
          <w:lang w:val="en-US" w:eastAsia="zh-CN"/>
        </w:rPr>
        <w:t xml:space="preserve"> </w:t>
      </w:r>
      <w:r>
        <w:rPr>
          <w:rFonts w:hint="eastAsia"/>
          <w:szCs w:val="36"/>
          <w:highlight w:val="none"/>
        </w:rPr>
        <w:t>50016</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4</w:t>
      </w:r>
      <w:r>
        <w:rPr>
          <w:rFonts w:hint="eastAsia"/>
          <w:szCs w:val="36"/>
          <w:highlight w:val="none"/>
        </w:rPr>
        <w:t xml:space="preserve"> </w:t>
      </w:r>
      <w:r>
        <w:rPr>
          <w:rFonts w:hint="eastAsia"/>
          <w:szCs w:val="36"/>
          <w:highlight w:val="none"/>
          <w:lang w:val="en-US" w:eastAsia="zh-CN"/>
        </w:rPr>
        <w:t xml:space="preserve"> </w:t>
      </w:r>
      <w:r>
        <w:rPr>
          <w:rFonts w:hint="eastAsia"/>
          <w:szCs w:val="36"/>
          <w:highlight w:val="none"/>
        </w:rPr>
        <w:t>《预应力混凝土用钢丝》GBT</w:t>
      </w:r>
      <w:r>
        <w:rPr>
          <w:rFonts w:hint="eastAsia"/>
          <w:szCs w:val="36"/>
          <w:highlight w:val="none"/>
          <w:lang w:val="en-US" w:eastAsia="zh-CN"/>
        </w:rPr>
        <w:t xml:space="preserve"> </w:t>
      </w:r>
      <w:r>
        <w:rPr>
          <w:rFonts w:hint="eastAsia"/>
          <w:szCs w:val="36"/>
          <w:highlight w:val="none"/>
        </w:rPr>
        <w:t>5223</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5 </w:t>
      </w:r>
      <w:r>
        <w:rPr>
          <w:rFonts w:hint="eastAsia"/>
          <w:b/>
          <w:szCs w:val="21"/>
          <w:highlight w:val="none"/>
          <w:lang w:val="en-US" w:eastAsia="zh-CN"/>
        </w:rPr>
        <w:t xml:space="preserve"> </w:t>
      </w:r>
      <w:r>
        <w:rPr>
          <w:rFonts w:hint="eastAsia"/>
          <w:szCs w:val="36"/>
          <w:highlight w:val="none"/>
        </w:rPr>
        <w:t>《爆炸危险环境电力装置设计规范》GB</w:t>
      </w:r>
      <w:r>
        <w:rPr>
          <w:rFonts w:hint="eastAsia"/>
          <w:szCs w:val="36"/>
          <w:highlight w:val="none"/>
          <w:lang w:val="en-US" w:eastAsia="zh-CN"/>
        </w:rPr>
        <w:t xml:space="preserve"> </w:t>
      </w:r>
      <w:r>
        <w:rPr>
          <w:rFonts w:hint="eastAsia"/>
          <w:szCs w:val="36"/>
          <w:highlight w:val="none"/>
        </w:rPr>
        <w:t>50058</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6 </w:t>
      </w:r>
      <w:r>
        <w:rPr>
          <w:rFonts w:hint="eastAsia"/>
          <w:b/>
          <w:szCs w:val="21"/>
          <w:highlight w:val="none"/>
          <w:lang w:val="en-US" w:eastAsia="zh-CN"/>
        </w:rPr>
        <w:t xml:space="preserve"> </w:t>
      </w:r>
      <w:r>
        <w:rPr>
          <w:rFonts w:hint="eastAsia"/>
          <w:szCs w:val="36"/>
          <w:highlight w:val="none"/>
        </w:rPr>
        <w:t>《钢结构焊接规范》GB 50661</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7 </w:t>
      </w:r>
      <w:r>
        <w:rPr>
          <w:rFonts w:hint="eastAsia"/>
          <w:b/>
          <w:szCs w:val="21"/>
          <w:highlight w:val="none"/>
          <w:lang w:val="en-US" w:eastAsia="zh-CN"/>
        </w:rPr>
        <w:t xml:space="preserve"> </w:t>
      </w:r>
      <w:r>
        <w:rPr>
          <w:rFonts w:hint="eastAsia"/>
          <w:szCs w:val="36"/>
          <w:highlight w:val="none"/>
        </w:rPr>
        <w:t>《建筑工程施工质量验收统一标准》GB 50204-2015</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8 </w:t>
      </w:r>
      <w:r>
        <w:rPr>
          <w:rFonts w:hint="eastAsia"/>
          <w:b/>
          <w:szCs w:val="21"/>
          <w:highlight w:val="none"/>
          <w:lang w:val="en-US" w:eastAsia="zh-CN"/>
        </w:rPr>
        <w:t xml:space="preserve"> </w:t>
      </w:r>
      <w:r>
        <w:rPr>
          <w:rFonts w:hint="eastAsia"/>
          <w:szCs w:val="36"/>
          <w:highlight w:val="none"/>
        </w:rPr>
        <w:t>《饰面石材用胶粘剂》GB 24264</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9 </w:t>
      </w:r>
      <w:r>
        <w:rPr>
          <w:rFonts w:hint="eastAsia"/>
          <w:b/>
          <w:szCs w:val="21"/>
          <w:highlight w:val="none"/>
          <w:lang w:val="en-US" w:eastAsia="zh-CN"/>
        </w:rPr>
        <w:t xml:space="preserve"> </w:t>
      </w:r>
      <w:r>
        <w:rPr>
          <w:rFonts w:hint="eastAsia"/>
          <w:szCs w:val="36"/>
          <w:highlight w:val="none"/>
        </w:rPr>
        <w:t>《混凝土结构工程施工质量验收规范》GB</w:t>
      </w:r>
      <w:r>
        <w:rPr>
          <w:rFonts w:hint="eastAsia"/>
          <w:szCs w:val="36"/>
          <w:highlight w:val="none"/>
          <w:lang w:val="en-US" w:eastAsia="zh-CN"/>
        </w:rPr>
        <w:t xml:space="preserve"> </w:t>
      </w:r>
      <w:r>
        <w:rPr>
          <w:rFonts w:hint="eastAsia"/>
          <w:szCs w:val="36"/>
          <w:highlight w:val="none"/>
        </w:rPr>
        <w:t>50204</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10 </w:t>
      </w:r>
      <w:r>
        <w:rPr>
          <w:rFonts w:hint="eastAsia"/>
          <w:b/>
          <w:szCs w:val="21"/>
          <w:highlight w:val="none"/>
          <w:lang w:val="en-US" w:eastAsia="zh-CN"/>
        </w:rPr>
        <w:t xml:space="preserve"> </w:t>
      </w:r>
      <w:r>
        <w:rPr>
          <w:rFonts w:hint="eastAsia"/>
          <w:szCs w:val="36"/>
          <w:highlight w:val="none"/>
        </w:rPr>
        <w:t>《混凝土结构工程施工规范》GB</w:t>
      </w:r>
      <w:r>
        <w:rPr>
          <w:rFonts w:hint="eastAsia"/>
          <w:szCs w:val="36"/>
          <w:highlight w:val="none"/>
          <w:lang w:val="en-US" w:eastAsia="zh-CN"/>
        </w:rPr>
        <w:t xml:space="preserve"> </w:t>
      </w:r>
      <w:r>
        <w:rPr>
          <w:rFonts w:hint="eastAsia"/>
          <w:szCs w:val="36"/>
          <w:highlight w:val="none"/>
        </w:rPr>
        <w:t>50666</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11 </w:t>
      </w:r>
      <w:r>
        <w:rPr>
          <w:rFonts w:hint="eastAsia"/>
          <w:b/>
          <w:szCs w:val="21"/>
          <w:highlight w:val="none"/>
          <w:lang w:val="en-US" w:eastAsia="zh-CN"/>
        </w:rPr>
        <w:t xml:space="preserve"> </w:t>
      </w:r>
      <w:r>
        <w:rPr>
          <w:rFonts w:hint="eastAsia"/>
          <w:szCs w:val="36"/>
          <w:highlight w:val="none"/>
        </w:rPr>
        <w:t>《起重机械安全规程》GB 6067.1</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12 </w:t>
      </w:r>
      <w:r>
        <w:rPr>
          <w:rFonts w:hint="eastAsia"/>
          <w:b/>
          <w:szCs w:val="21"/>
          <w:highlight w:val="none"/>
          <w:lang w:val="en-US" w:eastAsia="zh-CN"/>
        </w:rPr>
        <w:t xml:space="preserve"> </w:t>
      </w:r>
      <w:r>
        <w:rPr>
          <w:rFonts w:hint="eastAsia"/>
          <w:szCs w:val="36"/>
          <w:highlight w:val="none"/>
        </w:rPr>
        <w:t>《工业企业厂界环境噪声排放标准》GB</w:t>
      </w:r>
      <w:r>
        <w:rPr>
          <w:rFonts w:hint="eastAsia"/>
          <w:szCs w:val="36"/>
          <w:highlight w:val="none"/>
          <w:lang w:val="en-US" w:eastAsia="zh-CN"/>
        </w:rPr>
        <w:t xml:space="preserve"> </w:t>
      </w:r>
      <w:r>
        <w:rPr>
          <w:rFonts w:hint="eastAsia"/>
          <w:szCs w:val="36"/>
          <w:highlight w:val="none"/>
        </w:rPr>
        <w:t>12348</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13 </w:t>
      </w:r>
      <w:r>
        <w:rPr>
          <w:rFonts w:hint="eastAsia"/>
          <w:b/>
          <w:szCs w:val="21"/>
          <w:highlight w:val="none"/>
          <w:lang w:val="en-US" w:eastAsia="zh-CN"/>
        </w:rPr>
        <w:t xml:space="preserve"> </w:t>
      </w:r>
      <w:r>
        <w:rPr>
          <w:rFonts w:hint="eastAsia"/>
          <w:szCs w:val="36"/>
          <w:highlight w:val="none"/>
        </w:rPr>
        <w:t>《预应力混凝土用钢绞线_混凝土规范》GBT</w:t>
      </w:r>
      <w:r>
        <w:rPr>
          <w:rFonts w:hint="eastAsia"/>
          <w:szCs w:val="36"/>
          <w:highlight w:val="none"/>
          <w:lang w:val="en-US" w:eastAsia="zh-CN"/>
        </w:rPr>
        <w:t xml:space="preserve"> </w:t>
      </w:r>
      <w:r>
        <w:rPr>
          <w:rFonts w:hint="eastAsia"/>
          <w:szCs w:val="36"/>
          <w:highlight w:val="none"/>
        </w:rPr>
        <w:t>5224</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14 </w:t>
      </w:r>
      <w:r>
        <w:rPr>
          <w:rFonts w:hint="eastAsia"/>
          <w:b/>
          <w:szCs w:val="21"/>
          <w:highlight w:val="none"/>
          <w:lang w:val="en-US" w:eastAsia="zh-CN"/>
        </w:rPr>
        <w:t xml:space="preserve"> </w:t>
      </w:r>
      <w:r>
        <w:rPr>
          <w:rFonts w:hint="eastAsia"/>
          <w:szCs w:val="36"/>
          <w:highlight w:val="none"/>
        </w:rPr>
        <w:t>《预应力筋用锚具、夹具和连接器》GB</w:t>
      </w:r>
      <w:r>
        <w:rPr>
          <w:rFonts w:hint="eastAsia"/>
          <w:szCs w:val="36"/>
          <w:highlight w:val="none"/>
          <w:lang w:val="en-US" w:eastAsia="zh-CN"/>
        </w:rPr>
        <w:t xml:space="preserve"> </w:t>
      </w:r>
      <w:r>
        <w:rPr>
          <w:rFonts w:hint="eastAsia"/>
          <w:szCs w:val="36"/>
          <w:highlight w:val="none"/>
        </w:rPr>
        <w:t>14370</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15 </w:t>
      </w:r>
      <w:r>
        <w:rPr>
          <w:rFonts w:hint="eastAsia"/>
          <w:b/>
          <w:szCs w:val="21"/>
          <w:highlight w:val="none"/>
          <w:lang w:val="en-US" w:eastAsia="zh-CN"/>
        </w:rPr>
        <w:t xml:space="preserve"> </w:t>
      </w:r>
      <w:r>
        <w:rPr>
          <w:rFonts w:hint="eastAsia"/>
          <w:szCs w:val="36"/>
          <w:highlight w:val="none"/>
        </w:rPr>
        <w:t>《通用硅酸盐水泥》GB 175</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16 </w:t>
      </w:r>
      <w:r>
        <w:rPr>
          <w:rFonts w:hint="eastAsia"/>
          <w:b/>
          <w:szCs w:val="21"/>
          <w:highlight w:val="none"/>
          <w:lang w:val="en-US" w:eastAsia="zh-CN"/>
        </w:rPr>
        <w:t xml:space="preserve"> </w:t>
      </w:r>
      <w:r>
        <w:rPr>
          <w:rFonts w:hint="eastAsia"/>
          <w:szCs w:val="36"/>
          <w:highlight w:val="none"/>
        </w:rPr>
        <w:t>《用于水泥和混凝土中的粉煤灰》GB</w:t>
      </w:r>
      <w:r>
        <w:rPr>
          <w:rFonts w:hint="eastAsia"/>
          <w:szCs w:val="36"/>
          <w:highlight w:val="none"/>
          <w:lang w:val="en-US" w:eastAsia="zh-CN"/>
        </w:rPr>
        <w:t xml:space="preserve"> </w:t>
      </w:r>
      <w:r>
        <w:rPr>
          <w:rFonts w:hint="eastAsia"/>
          <w:szCs w:val="36"/>
          <w:highlight w:val="none"/>
        </w:rPr>
        <w:t>1596</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17 </w:t>
      </w:r>
      <w:r>
        <w:rPr>
          <w:rFonts w:hint="eastAsia"/>
          <w:b/>
          <w:szCs w:val="21"/>
          <w:highlight w:val="none"/>
          <w:lang w:val="en-US" w:eastAsia="zh-CN"/>
        </w:rPr>
        <w:t xml:space="preserve"> </w:t>
      </w:r>
      <w:r>
        <w:rPr>
          <w:rFonts w:hint="eastAsia"/>
          <w:szCs w:val="36"/>
          <w:highlight w:val="none"/>
        </w:rPr>
        <w:t>《混凝土外加剂》GB</w:t>
      </w:r>
      <w:r>
        <w:rPr>
          <w:rFonts w:hint="eastAsia"/>
          <w:szCs w:val="36"/>
          <w:highlight w:val="none"/>
          <w:lang w:val="en-US" w:eastAsia="zh-CN"/>
        </w:rPr>
        <w:t xml:space="preserve"> </w:t>
      </w:r>
      <w:r>
        <w:rPr>
          <w:rFonts w:hint="eastAsia"/>
          <w:szCs w:val="36"/>
          <w:highlight w:val="none"/>
        </w:rPr>
        <w:t>8076</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18 </w:t>
      </w:r>
      <w:r>
        <w:rPr>
          <w:rFonts w:hint="eastAsia"/>
          <w:b/>
          <w:szCs w:val="21"/>
          <w:highlight w:val="none"/>
          <w:lang w:val="en-US" w:eastAsia="zh-CN"/>
        </w:rPr>
        <w:t xml:space="preserve"> </w:t>
      </w:r>
      <w:r>
        <w:rPr>
          <w:rFonts w:hint="eastAsia"/>
          <w:szCs w:val="36"/>
          <w:highlight w:val="none"/>
        </w:rPr>
        <w:t>《石油化工可燃气体和有毒气体检测报警设计规范》GB/T</w:t>
      </w:r>
      <w:r>
        <w:rPr>
          <w:rFonts w:hint="eastAsia"/>
          <w:szCs w:val="36"/>
          <w:highlight w:val="none"/>
          <w:lang w:val="en-US" w:eastAsia="zh-CN"/>
        </w:rPr>
        <w:t xml:space="preserve"> </w:t>
      </w:r>
      <w:r>
        <w:rPr>
          <w:rFonts w:hint="eastAsia"/>
          <w:szCs w:val="36"/>
          <w:highlight w:val="none"/>
        </w:rPr>
        <w:t>50493</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19 </w:t>
      </w:r>
      <w:r>
        <w:rPr>
          <w:rFonts w:hint="eastAsia"/>
          <w:b/>
          <w:szCs w:val="21"/>
          <w:highlight w:val="none"/>
          <w:lang w:val="en-US" w:eastAsia="zh-CN"/>
        </w:rPr>
        <w:t xml:space="preserve"> </w:t>
      </w:r>
      <w:r>
        <w:rPr>
          <w:rFonts w:hint="eastAsia"/>
          <w:szCs w:val="36"/>
          <w:highlight w:val="none"/>
        </w:rPr>
        <w:t>《钢筋混凝土用钢 第1部分：热轧光圆钢筋》GB/T</w:t>
      </w:r>
      <w:r>
        <w:rPr>
          <w:rFonts w:hint="eastAsia"/>
          <w:szCs w:val="36"/>
          <w:highlight w:val="none"/>
          <w:lang w:val="en-US" w:eastAsia="zh-CN"/>
        </w:rPr>
        <w:t xml:space="preserve"> </w:t>
      </w:r>
      <w:r>
        <w:rPr>
          <w:rFonts w:hint="eastAsia"/>
          <w:szCs w:val="36"/>
          <w:highlight w:val="none"/>
        </w:rPr>
        <w:t>1499.1</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20 </w:t>
      </w:r>
      <w:r>
        <w:rPr>
          <w:rFonts w:hint="eastAsia"/>
          <w:b/>
          <w:szCs w:val="21"/>
          <w:highlight w:val="none"/>
          <w:lang w:val="en-US" w:eastAsia="zh-CN"/>
        </w:rPr>
        <w:t xml:space="preserve"> </w:t>
      </w:r>
      <w:r>
        <w:rPr>
          <w:rFonts w:hint="eastAsia"/>
          <w:szCs w:val="36"/>
          <w:highlight w:val="none"/>
        </w:rPr>
        <w:t>《钢筋混凝土用钢 第2部分：热轧带肋钢筋》GB/T</w:t>
      </w:r>
      <w:r>
        <w:rPr>
          <w:rFonts w:hint="eastAsia"/>
          <w:szCs w:val="36"/>
          <w:highlight w:val="none"/>
          <w:lang w:val="en-US" w:eastAsia="zh-CN"/>
        </w:rPr>
        <w:t xml:space="preserve"> </w:t>
      </w:r>
      <w:r>
        <w:rPr>
          <w:rFonts w:hint="eastAsia"/>
          <w:szCs w:val="36"/>
          <w:highlight w:val="none"/>
        </w:rPr>
        <w:t>1499.2</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21 </w:t>
      </w:r>
      <w:r>
        <w:rPr>
          <w:rFonts w:hint="eastAsia"/>
          <w:b/>
          <w:szCs w:val="21"/>
          <w:highlight w:val="none"/>
          <w:lang w:val="en-US" w:eastAsia="zh-CN"/>
        </w:rPr>
        <w:t xml:space="preserve"> </w:t>
      </w:r>
      <w:r>
        <w:rPr>
          <w:rFonts w:hint="eastAsia"/>
          <w:szCs w:val="36"/>
          <w:highlight w:val="none"/>
        </w:rPr>
        <w:t>《钢筋混凝土用钢筋焊接网》GB/T</w:t>
      </w:r>
      <w:r>
        <w:rPr>
          <w:rFonts w:hint="eastAsia"/>
          <w:szCs w:val="36"/>
          <w:highlight w:val="none"/>
          <w:lang w:val="en-US" w:eastAsia="zh-CN"/>
        </w:rPr>
        <w:t xml:space="preserve"> </w:t>
      </w:r>
      <w:r>
        <w:rPr>
          <w:rFonts w:hint="eastAsia"/>
          <w:szCs w:val="36"/>
          <w:highlight w:val="none"/>
        </w:rPr>
        <w:t>1499.3</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22</w:t>
      </w:r>
      <w:r>
        <w:rPr>
          <w:rFonts w:hint="eastAsia"/>
          <w:szCs w:val="36"/>
          <w:highlight w:val="none"/>
        </w:rPr>
        <w:t xml:space="preserve"> </w:t>
      </w:r>
      <w:r>
        <w:rPr>
          <w:rFonts w:hint="eastAsia"/>
          <w:szCs w:val="36"/>
          <w:highlight w:val="none"/>
          <w:lang w:val="en-US" w:eastAsia="zh-CN"/>
        </w:rPr>
        <w:t xml:space="preserve"> </w:t>
      </w:r>
      <w:r>
        <w:rPr>
          <w:rFonts w:hint="eastAsia"/>
          <w:szCs w:val="36"/>
          <w:highlight w:val="none"/>
        </w:rPr>
        <w:t>《轻集料及其试验方法》GB/T</w:t>
      </w:r>
      <w:r>
        <w:rPr>
          <w:rFonts w:hint="eastAsia"/>
          <w:szCs w:val="36"/>
          <w:highlight w:val="none"/>
          <w:lang w:val="en-US" w:eastAsia="zh-CN"/>
        </w:rPr>
        <w:t xml:space="preserve"> </w:t>
      </w:r>
      <w:r>
        <w:rPr>
          <w:rFonts w:hint="eastAsia"/>
          <w:szCs w:val="36"/>
          <w:highlight w:val="none"/>
        </w:rPr>
        <w:t>17431</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23 </w:t>
      </w:r>
      <w:r>
        <w:rPr>
          <w:rFonts w:hint="eastAsia"/>
          <w:b/>
          <w:szCs w:val="21"/>
          <w:highlight w:val="none"/>
          <w:lang w:val="en-US" w:eastAsia="zh-CN"/>
        </w:rPr>
        <w:t xml:space="preserve"> </w:t>
      </w:r>
      <w:r>
        <w:rPr>
          <w:rFonts w:hint="eastAsia"/>
          <w:szCs w:val="36"/>
          <w:highlight w:val="none"/>
        </w:rPr>
        <w:t>《装配式混凝土建筑技术标准》GB/T 51231</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24 </w:t>
      </w:r>
      <w:r>
        <w:rPr>
          <w:rFonts w:hint="eastAsia"/>
          <w:b/>
          <w:szCs w:val="21"/>
          <w:highlight w:val="none"/>
          <w:lang w:val="en-US" w:eastAsia="zh-CN"/>
        </w:rPr>
        <w:t xml:space="preserve"> </w:t>
      </w:r>
      <w:r>
        <w:rPr>
          <w:rFonts w:hint="eastAsia"/>
          <w:szCs w:val="36"/>
          <w:highlight w:val="none"/>
        </w:rPr>
        <w:t>《预应力混凝土用钢棒》GB/T</w:t>
      </w:r>
      <w:r>
        <w:rPr>
          <w:rFonts w:hint="eastAsia"/>
          <w:szCs w:val="36"/>
          <w:highlight w:val="none"/>
          <w:lang w:val="en-US" w:eastAsia="zh-CN"/>
        </w:rPr>
        <w:t xml:space="preserve"> </w:t>
      </w:r>
      <w:r>
        <w:rPr>
          <w:rFonts w:hint="eastAsia"/>
          <w:szCs w:val="36"/>
          <w:highlight w:val="none"/>
        </w:rPr>
        <w:t>5223.3</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25 </w:t>
      </w:r>
      <w:r>
        <w:rPr>
          <w:rFonts w:hint="eastAsia"/>
          <w:b/>
          <w:szCs w:val="21"/>
          <w:highlight w:val="none"/>
          <w:lang w:val="en-US" w:eastAsia="zh-CN"/>
        </w:rPr>
        <w:t xml:space="preserve"> </w:t>
      </w:r>
      <w:r>
        <w:rPr>
          <w:rFonts w:hint="eastAsia"/>
          <w:szCs w:val="36"/>
          <w:highlight w:val="none"/>
        </w:rPr>
        <w:t>《绝热用模塑聚苯乙烯泡沫塑料》GB/T</w:t>
      </w:r>
      <w:r>
        <w:rPr>
          <w:rFonts w:hint="eastAsia"/>
          <w:szCs w:val="36"/>
          <w:highlight w:val="none"/>
          <w:lang w:val="en-US" w:eastAsia="zh-CN"/>
        </w:rPr>
        <w:t xml:space="preserve"> </w:t>
      </w:r>
      <w:r>
        <w:rPr>
          <w:rFonts w:hint="eastAsia"/>
          <w:szCs w:val="36"/>
          <w:highlight w:val="none"/>
        </w:rPr>
        <w:t>10801.1</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26 </w:t>
      </w:r>
      <w:r>
        <w:rPr>
          <w:rFonts w:hint="eastAsia"/>
          <w:b/>
          <w:szCs w:val="21"/>
          <w:highlight w:val="none"/>
          <w:lang w:val="en-US" w:eastAsia="zh-CN"/>
        </w:rPr>
        <w:t xml:space="preserve"> </w:t>
      </w:r>
      <w:r>
        <w:rPr>
          <w:rFonts w:hint="eastAsia"/>
          <w:szCs w:val="36"/>
          <w:highlight w:val="none"/>
        </w:rPr>
        <w:t>《绝热用挤塑聚苯乙烯泡沫塑料（XPS）》GB/T</w:t>
      </w:r>
      <w:r>
        <w:rPr>
          <w:rFonts w:hint="eastAsia"/>
          <w:szCs w:val="36"/>
          <w:highlight w:val="none"/>
          <w:lang w:val="en-US" w:eastAsia="zh-CN"/>
        </w:rPr>
        <w:t xml:space="preserve"> </w:t>
      </w:r>
      <w:r>
        <w:rPr>
          <w:rFonts w:hint="eastAsia"/>
          <w:szCs w:val="36"/>
          <w:highlight w:val="none"/>
        </w:rPr>
        <w:t>10801.2</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rFonts w:hint="eastAsia"/>
          <w:szCs w:val="36"/>
          <w:highlight w:val="none"/>
        </w:rPr>
      </w:pPr>
      <w:bookmarkStart w:id="487" w:name="_Toc17607"/>
      <w:r>
        <w:rPr>
          <w:rFonts w:hint="eastAsia"/>
          <w:b/>
          <w:szCs w:val="21"/>
          <w:highlight w:val="none"/>
        </w:rPr>
        <w:t xml:space="preserve">27 </w:t>
      </w:r>
      <w:r>
        <w:rPr>
          <w:rFonts w:hint="eastAsia"/>
          <w:b/>
          <w:szCs w:val="21"/>
          <w:highlight w:val="none"/>
          <w:lang w:val="en-US" w:eastAsia="zh-CN"/>
        </w:rPr>
        <w:t xml:space="preserve"> </w:t>
      </w:r>
      <w:r>
        <w:rPr>
          <w:rFonts w:hint="eastAsia"/>
          <w:szCs w:val="36"/>
          <w:highlight w:val="none"/>
        </w:rPr>
        <w:t>《热轧型钢》GB/T</w:t>
      </w:r>
      <w:r>
        <w:rPr>
          <w:rFonts w:hint="eastAsia"/>
          <w:szCs w:val="36"/>
          <w:highlight w:val="none"/>
          <w:lang w:val="en-US" w:eastAsia="zh-CN"/>
        </w:rPr>
        <w:t xml:space="preserve"> </w:t>
      </w:r>
      <w:r>
        <w:rPr>
          <w:rFonts w:hint="eastAsia"/>
          <w:szCs w:val="36"/>
          <w:highlight w:val="none"/>
        </w:rPr>
        <w:t>706</w:t>
      </w:r>
      <w:bookmarkEnd w:id="487"/>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28 </w:t>
      </w:r>
      <w:r>
        <w:rPr>
          <w:rFonts w:hint="eastAsia"/>
          <w:b/>
          <w:szCs w:val="21"/>
          <w:highlight w:val="none"/>
          <w:lang w:val="en-US" w:eastAsia="zh-CN"/>
        </w:rPr>
        <w:t xml:space="preserve"> </w:t>
      </w:r>
      <w:r>
        <w:rPr>
          <w:rFonts w:hint="eastAsia"/>
          <w:szCs w:val="36"/>
          <w:highlight w:val="none"/>
        </w:rPr>
        <w:t>《用于水泥、砂浆和混凝土中的粒化高炉矿渣粉》GB</w:t>
      </w:r>
      <w:r>
        <w:rPr>
          <w:rFonts w:hint="eastAsia"/>
          <w:szCs w:val="36"/>
          <w:highlight w:val="none"/>
          <w:lang w:val="en-US" w:eastAsia="zh-CN"/>
        </w:rPr>
        <w:t>/</w:t>
      </w:r>
      <w:r>
        <w:rPr>
          <w:rFonts w:hint="eastAsia"/>
          <w:szCs w:val="36"/>
          <w:highlight w:val="none"/>
        </w:rPr>
        <w:t>T 18046</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29 </w:t>
      </w:r>
      <w:r>
        <w:rPr>
          <w:rFonts w:hint="eastAsia"/>
          <w:b/>
          <w:szCs w:val="21"/>
          <w:highlight w:val="none"/>
          <w:lang w:val="en-US" w:eastAsia="zh-CN"/>
        </w:rPr>
        <w:t xml:space="preserve"> </w:t>
      </w:r>
      <w:r>
        <w:rPr>
          <w:rFonts w:hint="eastAsia"/>
          <w:szCs w:val="36"/>
          <w:highlight w:val="none"/>
        </w:rPr>
        <w:t>《普通混凝土用砂、石质量及检验方法标准》JGJ</w:t>
      </w:r>
      <w:r>
        <w:rPr>
          <w:rFonts w:hint="eastAsia"/>
          <w:szCs w:val="36"/>
          <w:highlight w:val="none"/>
          <w:lang w:val="en-US" w:eastAsia="zh-CN"/>
        </w:rPr>
        <w:t xml:space="preserve"> </w:t>
      </w:r>
      <w:r>
        <w:rPr>
          <w:rFonts w:hint="eastAsia"/>
          <w:szCs w:val="36"/>
          <w:highlight w:val="none"/>
        </w:rPr>
        <w:t>52</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30 </w:t>
      </w:r>
      <w:r>
        <w:rPr>
          <w:rFonts w:hint="eastAsia"/>
          <w:b/>
          <w:szCs w:val="21"/>
          <w:highlight w:val="none"/>
          <w:lang w:val="en-US" w:eastAsia="zh-CN"/>
        </w:rPr>
        <w:t xml:space="preserve"> </w:t>
      </w:r>
      <w:r>
        <w:rPr>
          <w:rFonts w:hint="eastAsia"/>
          <w:szCs w:val="36"/>
          <w:highlight w:val="none"/>
        </w:rPr>
        <w:t>《普通混凝土配合比设计规程》JGJ</w:t>
      </w:r>
      <w:r>
        <w:rPr>
          <w:rFonts w:hint="eastAsia"/>
          <w:szCs w:val="36"/>
          <w:highlight w:val="none"/>
          <w:lang w:val="en-US" w:eastAsia="zh-CN"/>
        </w:rPr>
        <w:t xml:space="preserve"> </w:t>
      </w:r>
      <w:r>
        <w:rPr>
          <w:rFonts w:hint="eastAsia"/>
          <w:szCs w:val="36"/>
          <w:highlight w:val="none"/>
        </w:rPr>
        <w:t>55</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31 </w:t>
      </w:r>
      <w:r>
        <w:rPr>
          <w:rFonts w:hint="eastAsia"/>
          <w:b/>
          <w:szCs w:val="21"/>
          <w:highlight w:val="none"/>
          <w:lang w:val="en-US" w:eastAsia="zh-CN"/>
        </w:rPr>
        <w:t xml:space="preserve"> </w:t>
      </w:r>
      <w:r>
        <w:rPr>
          <w:bCs/>
          <w:kern w:val="0"/>
          <w:szCs w:val="21"/>
          <w:highlight w:val="none"/>
        </w:rPr>
        <w:t>《</w:t>
      </w:r>
      <w:r>
        <w:rPr>
          <w:rFonts w:hint="eastAsia"/>
          <w:szCs w:val="36"/>
          <w:highlight w:val="none"/>
        </w:rPr>
        <w:t>混凝土拌合用水标准》JGJ</w:t>
      </w:r>
      <w:r>
        <w:rPr>
          <w:rFonts w:hint="eastAsia"/>
          <w:szCs w:val="36"/>
          <w:highlight w:val="none"/>
          <w:lang w:val="en-US" w:eastAsia="zh-CN"/>
        </w:rPr>
        <w:t xml:space="preserve"> </w:t>
      </w:r>
      <w:r>
        <w:rPr>
          <w:rFonts w:hint="eastAsia"/>
          <w:szCs w:val="36"/>
          <w:highlight w:val="none"/>
        </w:rPr>
        <w:t>63</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32 </w:t>
      </w:r>
      <w:r>
        <w:rPr>
          <w:rFonts w:hint="eastAsia"/>
          <w:b/>
          <w:szCs w:val="21"/>
          <w:highlight w:val="none"/>
          <w:lang w:val="en-US" w:eastAsia="zh-CN"/>
        </w:rPr>
        <w:t xml:space="preserve"> </w:t>
      </w:r>
      <w:r>
        <w:rPr>
          <w:rFonts w:hint="eastAsia"/>
          <w:szCs w:val="36"/>
          <w:highlight w:val="none"/>
        </w:rPr>
        <w:t>《钢筋套筒灌浆连接应用技术规程》JGJ 355</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bCs/>
          <w:szCs w:val="21"/>
          <w:highlight w:val="none"/>
        </w:rPr>
      </w:pPr>
      <w:r>
        <w:rPr>
          <w:rFonts w:hint="eastAsia"/>
          <w:b/>
          <w:szCs w:val="21"/>
          <w:highlight w:val="none"/>
        </w:rPr>
        <w:t xml:space="preserve">33 </w:t>
      </w:r>
      <w:r>
        <w:rPr>
          <w:rFonts w:hint="eastAsia"/>
          <w:b/>
          <w:szCs w:val="21"/>
          <w:highlight w:val="none"/>
          <w:lang w:val="en-US" w:eastAsia="zh-CN"/>
        </w:rPr>
        <w:t xml:space="preserve"> </w:t>
      </w:r>
      <w:r>
        <w:rPr>
          <w:rFonts w:hint="eastAsia"/>
          <w:bCs/>
          <w:szCs w:val="21"/>
          <w:highlight w:val="none"/>
        </w:rPr>
        <w:t>《钢筋机械连接技术规程》JGJ</w:t>
      </w:r>
      <w:r>
        <w:rPr>
          <w:bCs/>
          <w:szCs w:val="21"/>
          <w:highlight w:val="none"/>
        </w:rPr>
        <w:t xml:space="preserve"> </w:t>
      </w:r>
      <w:r>
        <w:rPr>
          <w:rFonts w:hint="eastAsia"/>
          <w:bCs/>
          <w:szCs w:val="21"/>
          <w:highlight w:val="none"/>
        </w:rPr>
        <w:t>107</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34 </w:t>
      </w:r>
      <w:r>
        <w:rPr>
          <w:rFonts w:hint="eastAsia"/>
          <w:b/>
          <w:szCs w:val="21"/>
          <w:highlight w:val="none"/>
          <w:lang w:val="en-US" w:eastAsia="zh-CN"/>
        </w:rPr>
        <w:t xml:space="preserve"> </w:t>
      </w:r>
      <w:r>
        <w:rPr>
          <w:rFonts w:hint="eastAsia"/>
          <w:szCs w:val="21"/>
          <w:highlight w:val="none"/>
        </w:rPr>
        <w:t>《</w:t>
      </w:r>
      <w:r>
        <w:rPr>
          <w:rFonts w:hint="eastAsia"/>
          <w:szCs w:val="36"/>
          <w:highlight w:val="none"/>
        </w:rPr>
        <w:t>钢筋焊接及验收规程》JGJ 18</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35 </w:t>
      </w:r>
      <w:r>
        <w:rPr>
          <w:rFonts w:hint="eastAsia"/>
          <w:b/>
          <w:szCs w:val="21"/>
          <w:highlight w:val="none"/>
          <w:lang w:val="en-US" w:eastAsia="zh-CN"/>
        </w:rPr>
        <w:t xml:space="preserve"> </w:t>
      </w:r>
      <w:r>
        <w:rPr>
          <w:rFonts w:hint="eastAsia"/>
          <w:szCs w:val="36"/>
          <w:highlight w:val="none"/>
        </w:rPr>
        <w:t>《海砂混凝土应用技术规范》JGJ 206</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szCs w:val="36"/>
          <w:highlight w:val="none"/>
        </w:rPr>
      </w:pPr>
      <w:r>
        <w:rPr>
          <w:rFonts w:hint="eastAsia"/>
          <w:b/>
          <w:szCs w:val="21"/>
          <w:highlight w:val="none"/>
        </w:rPr>
        <w:t xml:space="preserve">36 </w:t>
      </w:r>
      <w:r>
        <w:rPr>
          <w:rFonts w:hint="eastAsia"/>
          <w:b/>
          <w:szCs w:val="21"/>
          <w:highlight w:val="none"/>
          <w:lang w:val="en-US" w:eastAsia="zh-CN"/>
        </w:rPr>
        <w:t xml:space="preserve"> </w:t>
      </w:r>
      <w:r>
        <w:rPr>
          <w:rFonts w:hint="eastAsia"/>
          <w:szCs w:val="36"/>
          <w:highlight w:val="none"/>
        </w:rPr>
        <w:t>《再生骨料应用技术规程》JGJ/T</w:t>
      </w:r>
      <w:r>
        <w:rPr>
          <w:rFonts w:hint="eastAsia"/>
          <w:szCs w:val="36"/>
          <w:highlight w:val="none"/>
          <w:lang w:val="en-US" w:eastAsia="zh-CN"/>
        </w:rPr>
        <w:t xml:space="preserve"> </w:t>
      </w:r>
      <w:r>
        <w:rPr>
          <w:rFonts w:hint="eastAsia"/>
          <w:szCs w:val="36"/>
          <w:highlight w:val="none"/>
        </w:rPr>
        <w:t>240</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bCs/>
          <w:szCs w:val="21"/>
          <w:highlight w:val="none"/>
        </w:rPr>
      </w:pPr>
      <w:r>
        <w:rPr>
          <w:rFonts w:hint="eastAsia"/>
          <w:b/>
          <w:szCs w:val="21"/>
          <w:highlight w:val="none"/>
        </w:rPr>
        <w:t xml:space="preserve">37 </w:t>
      </w:r>
      <w:r>
        <w:rPr>
          <w:rFonts w:hint="eastAsia"/>
          <w:b/>
          <w:szCs w:val="21"/>
          <w:highlight w:val="none"/>
          <w:lang w:val="en-US" w:eastAsia="zh-CN"/>
        </w:rPr>
        <w:t xml:space="preserve"> </w:t>
      </w:r>
      <w:r>
        <w:rPr>
          <w:rFonts w:hint="eastAsia"/>
          <w:szCs w:val="36"/>
          <w:highlight w:val="none"/>
        </w:rPr>
        <w:t>《混凝土制品用脱模剂》</w:t>
      </w:r>
      <w:r>
        <w:rPr>
          <w:szCs w:val="36"/>
          <w:highlight w:val="none"/>
        </w:rPr>
        <w:t>J</w:t>
      </w:r>
      <w:r>
        <w:rPr>
          <w:szCs w:val="21"/>
          <w:highlight w:val="none"/>
        </w:rPr>
        <w:t>C</w:t>
      </w:r>
      <w:r>
        <w:rPr>
          <w:rFonts w:hint="eastAsia"/>
          <w:szCs w:val="21"/>
          <w:highlight w:val="none"/>
        </w:rPr>
        <w:t>/</w:t>
      </w:r>
      <w:r>
        <w:rPr>
          <w:szCs w:val="21"/>
          <w:highlight w:val="none"/>
        </w:rPr>
        <w:t>T 949</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bCs/>
          <w:highlight w:val="none"/>
        </w:rPr>
      </w:pPr>
      <w:r>
        <w:rPr>
          <w:rFonts w:hint="eastAsia"/>
          <w:b/>
          <w:szCs w:val="21"/>
          <w:highlight w:val="none"/>
        </w:rPr>
        <w:t xml:space="preserve">38 </w:t>
      </w:r>
      <w:r>
        <w:rPr>
          <w:rFonts w:hint="eastAsia"/>
          <w:b/>
          <w:szCs w:val="21"/>
          <w:highlight w:val="none"/>
          <w:lang w:val="en-US" w:eastAsia="zh-CN"/>
        </w:rPr>
        <w:t xml:space="preserve"> </w:t>
      </w:r>
      <w:r>
        <w:rPr>
          <w:rFonts w:hint="eastAsia"/>
          <w:bCs/>
          <w:highlight w:val="none"/>
        </w:rPr>
        <w:t>《预制混凝土构件钢模板》J</w:t>
      </w:r>
      <w:r>
        <w:rPr>
          <w:bCs/>
          <w:highlight w:val="none"/>
        </w:rPr>
        <w:t>C/T</w:t>
      </w:r>
      <w:r>
        <w:rPr>
          <w:rFonts w:hint="eastAsia"/>
          <w:bCs/>
          <w:highlight w:val="none"/>
          <w:lang w:val="en-US" w:eastAsia="zh-CN"/>
        </w:rPr>
        <w:t xml:space="preserve"> </w:t>
      </w:r>
      <w:r>
        <w:rPr>
          <w:bCs/>
          <w:highlight w:val="none"/>
        </w:rPr>
        <w:t>3032</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eastAsia="Tahoma"/>
          <w:szCs w:val="21"/>
          <w:highlight w:val="none"/>
          <w:lang w:bidi="ar"/>
        </w:rPr>
      </w:pPr>
      <w:r>
        <w:rPr>
          <w:rFonts w:hint="eastAsia"/>
          <w:b/>
          <w:szCs w:val="21"/>
          <w:highlight w:val="none"/>
        </w:rPr>
        <w:t xml:space="preserve">39 </w:t>
      </w:r>
      <w:r>
        <w:rPr>
          <w:rFonts w:hint="eastAsia"/>
          <w:b/>
          <w:szCs w:val="21"/>
          <w:highlight w:val="none"/>
          <w:lang w:val="en-US" w:eastAsia="zh-CN"/>
        </w:rPr>
        <w:t xml:space="preserve"> </w:t>
      </w:r>
      <w:r>
        <w:rPr>
          <w:rFonts w:hint="eastAsia" w:cs="宋体"/>
          <w:szCs w:val="36"/>
          <w:highlight w:val="none"/>
          <w:lang w:bidi="ar"/>
        </w:rPr>
        <w:t>《混凝土</w:t>
      </w:r>
      <w:r>
        <w:rPr>
          <w:rFonts w:hint="eastAsia"/>
          <w:highlight w:val="none"/>
        </w:rPr>
        <w:t>制品</w:t>
      </w:r>
      <w:r>
        <w:rPr>
          <w:rFonts w:hint="eastAsia" w:cs="宋体"/>
          <w:szCs w:val="36"/>
          <w:highlight w:val="none"/>
          <w:lang w:bidi="ar"/>
        </w:rPr>
        <w:t>用</w:t>
      </w:r>
      <w:r>
        <w:rPr>
          <w:rFonts w:hint="eastAsia"/>
          <w:highlight w:val="none"/>
        </w:rPr>
        <w:t>脱模</w:t>
      </w:r>
      <w:r>
        <w:rPr>
          <w:rFonts w:hint="eastAsia" w:cs="宋体"/>
          <w:szCs w:val="36"/>
          <w:highlight w:val="none"/>
          <w:lang w:bidi="ar"/>
        </w:rPr>
        <w:t>剂》</w:t>
      </w:r>
      <w:r>
        <w:rPr>
          <w:szCs w:val="36"/>
          <w:highlight w:val="none"/>
          <w:lang w:bidi="ar"/>
        </w:rPr>
        <w:t>J</w:t>
      </w:r>
      <w:r>
        <w:rPr>
          <w:szCs w:val="21"/>
          <w:highlight w:val="none"/>
          <w:lang w:bidi="ar"/>
        </w:rPr>
        <w:t>C/T 949</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bCs/>
          <w:kern w:val="0"/>
          <w:szCs w:val="21"/>
          <w:highlight w:val="none"/>
          <w:lang w:bidi="ar"/>
        </w:rPr>
      </w:pPr>
      <w:r>
        <w:rPr>
          <w:rFonts w:hint="eastAsia"/>
          <w:b/>
          <w:szCs w:val="21"/>
          <w:highlight w:val="none"/>
        </w:rPr>
        <w:t xml:space="preserve">40 </w:t>
      </w:r>
      <w:r>
        <w:rPr>
          <w:rFonts w:hint="eastAsia"/>
          <w:b/>
          <w:szCs w:val="21"/>
          <w:highlight w:val="none"/>
          <w:lang w:val="en-US" w:eastAsia="zh-CN"/>
        </w:rPr>
        <w:t xml:space="preserve"> </w:t>
      </w:r>
      <w:r>
        <w:rPr>
          <w:rFonts w:hint="eastAsia" w:cs="宋体"/>
          <w:bCs/>
          <w:kern w:val="0"/>
          <w:szCs w:val="21"/>
          <w:highlight w:val="none"/>
          <w:lang w:bidi="ar"/>
        </w:rPr>
        <w:t>《钢筋</w:t>
      </w:r>
      <w:r>
        <w:rPr>
          <w:rFonts w:hint="eastAsia"/>
          <w:highlight w:val="none"/>
        </w:rPr>
        <w:t>混凝土</w:t>
      </w:r>
      <w:r>
        <w:rPr>
          <w:rFonts w:hint="eastAsia" w:cs="宋体"/>
          <w:bCs/>
          <w:kern w:val="0"/>
          <w:szCs w:val="21"/>
          <w:highlight w:val="none"/>
          <w:lang w:bidi="ar"/>
        </w:rPr>
        <w:t>用钢筋桁架》</w:t>
      </w:r>
      <w:r>
        <w:rPr>
          <w:bCs/>
          <w:color w:val="000000"/>
          <w:kern w:val="0"/>
          <w:szCs w:val="21"/>
          <w:highlight w:val="none"/>
          <w:lang w:bidi="ar"/>
        </w:rPr>
        <w:t>YB/T</w:t>
      </w:r>
      <w:r>
        <w:rPr>
          <w:bCs/>
          <w:kern w:val="0"/>
          <w:szCs w:val="21"/>
          <w:highlight w:val="none"/>
          <w:lang w:bidi="ar"/>
        </w:rPr>
        <w:t xml:space="preserve"> 4262</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kern w:val="0"/>
          <w:highlight w:val="none"/>
          <w:lang w:bidi="ar"/>
        </w:rPr>
      </w:pPr>
      <w:r>
        <w:rPr>
          <w:rFonts w:hint="eastAsia"/>
          <w:b/>
          <w:szCs w:val="21"/>
          <w:highlight w:val="none"/>
        </w:rPr>
        <w:t xml:space="preserve">41 </w:t>
      </w:r>
      <w:r>
        <w:rPr>
          <w:rFonts w:hint="eastAsia"/>
          <w:b/>
          <w:szCs w:val="21"/>
          <w:highlight w:val="none"/>
          <w:lang w:val="en-US" w:eastAsia="zh-CN"/>
        </w:rPr>
        <w:t xml:space="preserve"> </w:t>
      </w:r>
      <w:r>
        <w:rPr>
          <w:rFonts w:hint="eastAsia" w:cs="宋体"/>
          <w:kern w:val="0"/>
          <w:highlight w:val="none"/>
          <w:lang w:bidi="ar"/>
        </w:rPr>
        <w:t>《预制</w:t>
      </w:r>
      <w:r>
        <w:rPr>
          <w:rFonts w:hint="eastAsia"/>
          <w:highlight w:val="none"/>
        </w:rPr>
        <w:t>混凝土</w:t>
      </w:r>
      <w:r>
        <w:rPr>
          <w:rFonts w:hint="eastAsia" w:cs="宋体"/>
          <w:kern w:val="0"/>
          <w:highlight w:val="none"/>
          <w:lang w:bidi="ar"/>
        </w:rPr>
        <w:t>构件用</w:t>
      </w:r>
      <w:r>
        <w:rPr>
          <w:rFonts w:hint="eastAsia"/>
          <w:highlight w:val="none"/>
        </w:rPr>
        <w:t>金属</w:t>
      </w:r>
      <w:r>
        <w:rPr>
          <w:rFonts w:hint="eastAsia" w:cs="宋体"/>
          <w:kern w:val="0"/>
          <w:highlight w:val="none"/>
          <w:lang w:bidi="ar"/>
        </w:rPr>
        <w:t>预埋吊件》</w:t>
      </w:r>
      <w:r>
        <w:rPr>
          <w:kern w:val="0"/>
          <w:highlight w:val="none"/>
          <w:lang w:bidi="ar"/>
        </w:rPr>
        <w:t>T/CCES</w:t>
      </w:r>
      <w:r>
        <w:rPr>
          <w:rFonts w:hint="eastAsia"/>
          <w:kern w:val="0"/>
          <w:highlight w:val="none"/>
          <w:lang w:val="en-US" w:eastAsia="zh-CN" w:bidi="ar"/>
        </w:rPr>
        <w:t xml:space="preserve"> </w:t>
      </w:r>
      <w:r>
        <w:rPr>
          <w:kern w:val="0"/>
          <w:highlight w:val="none"/>
          <w:lang w:bidi="ar"/>
        </w:rPr>
        <w:t>6003</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ascii="Tahoma" w:hAnsi="Tahoma" w:eastAsia="Tahoma" w:cs="Tahoma"/>
          <w:b/>
          <w:bCs/>
          <w:szCs w:val="21"/>
          <w:highlight w:val="none"/>
          <w:lang w:bidi="ar"/>
        </w:rPr>
      </w:pPr>
      <w:r>
        <w:rPr>
          <w:rFonts w:hint="eastAsia"/>
          <w:b/>
          <w:szCs w:val="21"/>
          <w:highlight w:val="none"/>
        </w:rPr>
        <w:t xml:space="preserve">42 </w:t>
      </w:r>
      <w:r>
        <w:rPr>
          <w:rFonts w:hint="eastAsia"/>
          <w:b/>
          <w:szCs w:val="21"/>
          <w:highlight w:val="none"/>
          <w:lang w:val="en-US" w:eastAsia="zh-CN"/>
        </w:rPr>
        <w:t xml:space="preserve"> </w:t>
      </w:r>
      <w:r>
        <w:rPr>
          <w:rFonts w:hint="eastAsia" w:ascii="宋体" w:hAnsi="宋体" w:cs="宋体"/>
          <w:bCs/>
          <w:kern w:val="0"/>
          <w:szCs w:val="21"/>
          <w:highlight w:val="none"/>
          <w:lang w:bidi="ar"/>
        </w:rPr>
        <w:t>《</w:t>
      </w:r>
      <w:r>
        <w:rPr>
          <w:rFonts w:hint="eastAsia" w:ascii="宋体" w:hAnsi="宋体" w:cs="宋体"/>
          <w:szCs w:val="21"/>
          <w:highlight w:val="none"/>
          <w:lang w:bidi="ar"/>
        </w:rPr>
        <w:t>预应力混凝土</w:t>
      </w:r>
      <w:r>
        <w:rPr>
          <w:rFonts w:hint="eastAsia"/>
          <w:highlight w:val="none"/>
        </w:rPr>
        <w:t>钢管</w:t>
      </w:r>
      <w:r>
        <w:rPr>
          <w:rFonts w:hint="eastAsia" w:ascii="宋体" w:hAnsi="宋体" w:cs="宋体"/>
          <w:szCs w:val="21"/>
          <w:highlight w:val="none"/>
          <w:lang w:bidi="ar"/>
        </w:rPr>
        <w:t>桁架叠合板技术规程》</w:t>
      </w:r>
      <w:r>
        <w:rPr>
          <w:rFonts w:hint="eastAsia"/>
          <w:kern w:val="0"/>
          <w:highlight w:val="none"/>
          <w:lang w:bidi="ar"/>
        </w:rPr>
        <w:t>T/CECS-722</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outlineLvl w:val="9"/>
        <w:rPr>
          <w:highlight w:val="none"/>
        </w:rPr>
      </w:pPr>
      <w:bookmarkStart w:id="488" w:name="_Toc23258"/>
      <w:r>
        <w:rPr>
          <w:rFonts w:hint="eastAsia"/>
          <w:b/>
          <w:szCs w:val="21"/>
          <w:highlight w:val="none"/>
        </w:rPr>
        <w:t xml:space="preserve">43 </w:t>
      </w:r>
      <w:r>
        <w:rPr>
          <w:rFonts w:hint="eastAsia"/>
          <w:b/>
          <w:szCs w:val="21"/>
          <w:highlight w:val="none"/>
          <w:lang w:val="en-US" w:eastAsia="zh-CN"/>
        </w:rPr>
        <w:t xml:space="preserve"> </w:t>
      </w:r>
      <w:r>
        <w:rPr>
          <w:rFonts w:hint="eastAsia"/>
          <w:color w:val="auto"/>
          <w:highlight w:val="none"/>
        </w:rPr>
        <w:t>《预制混凝土构件质量</w:t>
      </w:r>
      <w:r>
        <w:rPr>
          <w:rFonts w:hint="eastAsia"/>
          <w:color w:val="auto"/>
          <w:highlight w:val="none"/>
          <w:lang w:val="en-US" w:eastAsia="zh-CN"/>
        </w:rPr>
        <w:t>检验与验收标准</w:t>
      </w:r>
      <w:r>
        <w:rPr>
          <w:rFonts w:hint="eastAsia"/>
          <w:color w:val="auto"/>
          <w:highlight w:val="none"/>
        </w:rPr>
        <w:t>》</w:t>
      </w:r>
      <w:bookmarkEnd w:id="488"/>
    </w:p>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firstLine="500" w:firstLineChars="200"/>
        <w:textAlignment w:val="auto"/>
        <w:rPr>
          <w:rFonts w:hint="default" w:eastAsia="宋体" w:cs="宋体"/>
          <w:szCs w:val="21"/>
          <w:highlight w:val="none"/>
          <w:lang w:val="en-US" w:eastAsia="zh-CN"/>
        </w:rPr>
      </w:pPr>
    </w:p>
    <w:p>
      <w:pPr>
        <w:rPr>
          <w:rFonts w:hint="eastAsia" w:cs="宋体"/>
          <w:szCs w:val="21"/>
          <w:highlight w:val="none"/>
        </w:rPr>
      </w:pPr>
    </w:p>
    <w:p>
      <w:pPr>
        <w:pStyle w:val="2"/>
        <w:rPr>
          <w:highlight w:val="none"/>
        </w:rPr>
        <w:sectPr>
          <w:pgSz w:w="11906" w:h="16838"/>
          <w:pgMar w:top="1610" w:right="1349" w:bottom="1213" w:left="1293" w:header="851" w:footer="992" w:gutter="0"/>
          <w:pgBorders>
            <w:top w:val="none" w:sz="0" w:space="0"/>
            <w:left w:val="none" w:sz="0" w:space="0"/>
            <w:bottom w:val="none" w:sz="0" w:space="0"/>
            <w:right w:val="none" w:sz="0" w:space="0"/>
          </w:pgBorders>
          <w:pgNumType w:start="1"/>
          <w:cols w:space="425" w:num="1"/>
          <w:docGrid w:type="linesAndChars" w:linePitch="333" w:charSpace="2165"/>
        </w:sectPr>
      </w:pPr>
    </w:p>
    <w:p>
      <w:pPr>
        <w:widowControl/>
        <w:jc w:val="center"/>
        <w:rPr>
          <w:rFonts w:ascii="Calibri" w:hAnsi="Calibri" w:eastAsia="黑体"/>
          <w:sz w:val="32"/>
          <w:szCs w:val="32"/>
          <w:highlight w:val="none"/>
        </w:rPr>
      </w:pPr>
    </w:p>
    <w:p>
      <w:pPr>
        <w:spacing w:line="240" w:lineRule="auto"/>
        <w:ind w:right="-42" w:rightChars="-20"/>
        <w:jc w:val="center"/>
        <w:outlineLvl w:val="9"/>
        <w:rPr>
          <w:rFonts w:eastAsia="黑体"/>
          <w:sz w:val="32"/>
          <w:szCs w:val="32"/>
          <w:highlight w:val="none"/>
        </w:rPr>
      </w:pPr>
      <w:bookmarkStart w:id="489" w:name="_Toc3509"/>
      <w:r>
        <w:rPr>
          <w:rFonts w:hint="eastAsia" w:eastAsia="黑体"/>
          <w:sz w:val="32"/>
          <w:szCs w:val="32"/>
          <w:highlight w:val="none"/>
        </w:rPr>
        <w:t>深圳市工程建设地方标准</w:t>
      </w:r>
      <w:bookmarkEnd w:id="489"/>
    </w:p>
    <w:p>
      <w:pPr>
        <w:spacing w:line="240" w:lineRule="auto"/>
        <w:jc w:val="center"/>
        <w:rPr>
          <w:sz w:val="30"/>
          <w:highlight w:val="none"/>
        </w:rPr>
      </w:pPr>
    </w:p>
    <w:p>
      <w:pPr>
        <w:spacing w:line="240" w:lineRule="auto"/>
        <w:jc w:val="center"/>
        <w:rPr>
          <w:rFonts w:ascii="宋体" w:hAnsi="宋体"/>
          <w:b/>
          <w:bCs/>
          <w:sz w:val="32"/>
          <w:szCs w:val="32"/>
          <w:highlight w:val="none"/>
        </w:rPr>
      </w:pPr>
      <w:r>
        <w:rPr>
          <w:rFonts w:hint="eastAsia" w:ascii="宋体" w:hAnsi="宋体"/>
          <w:b/>
          <w:bCs/>
          <w:sz w:val="32"/>
          <w:szCs w:val="32"/>
          <w:highlight w:val="none"/>
        </w:rPr>
        <w:t>预制混凝土构件生产与运输标准</w:t>
      </w:r>
    </w:p>
    <w:p>
      <w:pPr>
        <w:spacing w:line="240" w:lineRule="auto"/>
        <w:jc w:val="center"/>
        <w:rPr>
          <w:rFonts w:ascii="宋体" w:hAnsi="宋体"/>
          <w:b/>
          <w:bCs/>
          <w:sz w:val="32"/>
          <w:szCs w:val="32"/>
          <w:highlight w:val="none"/>
        </w:rPr>
      </w:pPr>
    </w:p>
    <w:p>
      <w:pPr>
        <w:spacing w:line="240" w:lineRule="auto"/>
        <w:jc w:val="center"/>
        <w:rPr>
          <w:b/>
          <w:sz w:val="30"/>
          <w:highlight w:val="none"/>
        </w:rPr>
      </w:pPr>
      <w:r>
        <w:rPr>
          <w:b/>
          <w:sz w:val="30"/>
          <w:highlight w:val="none"/>
        </w:rPr>
        <w:t xml:space="preserve">SJG </w:t>
      </w:r>
      <w:r>
        <w:rPr>
          <w:rFonts w:eastAsia="黑体e眠副浡渀."/>
          <w:b/>
          <w:sz w:val="28"/>
          <w:szCs w:val="28"/>
          <w:highlight w:val="none"/>
        </w:rPr>
        <w:t>XXX</w:t>
      </w:r>
      <w:r>
        <w:rPr>
          <w:b/>
          <w:sz w:val="28"/>
          <w:szCs w:val="28"/>
          <w:highlight w:val="none"/>
        </w:rPr>
        <w:t xml:space="preserve"> </w:t>
      </w:r>
      <w:r>
        <w:rPr>
          <w:rFonts w:hint="eastAsia" w:ascii="宋体" w:hAnsi="宋体"/>
          <w:b/>
          <w:sz w:val="28"/>
          <w:szCs w:val="28"/>
          <w:highlight w:val="none"/>
        </w:rPr>
        <w:t>-</w:t>
      </w:r>
      <w:r>
        <w:rPr>
          <w:rFonts w:hint="eastAsia"/>
          <w:b/>
          <w:sz w:val="28"/>
          <w:szCs w:val="28"/>
          <w:highlight w:val="none"/>
        </w:rPr>
        <w:t xml:space="preserve"> </w:t>
      </w:r>
      <w:r>
        <w:rPr>
          <w:rFonts w:hint="eastAsia"/>
          <w:b/>
          <w:sz w:val="30"/>
          <w:highlight w:val="none"/>
        </w:rPr>
        <w:t>202X</w:t>
      </w:r>
    </w:p>
    <w:p>
      <w:pPr>
        <w:ind w:firstLine="480"/>
        <w:rPr>
          <w:highlight w:val="none"/>
        </w:rPr>
      </w:pPr>
    </w:p>
    <w:p>
      <w:pPr>
        <w:ind w:firstLine="480"/>
        <w:rPr>
          <w:highlight w:val="none"/>
        </w:rPr>
      </w:pPr>
    </w:p>
    <w:p>
      <w:pPr>
        <w:jc w:val="center"/>
        <w:outlineLvl w:val="0"/>
        <w:rPr>
          <w:b/>
          <w:sz w:val="36"/>
          <w:szCs w:val="36"/>
          <w:highlight w:val="none"/>
        </w:rPr>
      </w:pPr>
      <w:bookmarkStart w:id="490" w:name="_Toc49880526"/>
      <w:bookmarkStart w:id="491" w:name="_Toc49851384"/>
      <w:bookmarkStart w:id="492" w:name="_Toc93999739"/>
      <w:bookmarkStart w:id="493" w:name="_Toc93350498"/>
      <w:bookmarkStart w:id="494" w:name="_Toc5706"/>
      <w:bookmarkStart w:id="495" w:name="_Toc93677055"/>
      <w:bookmarkStart w:id="496" w:name="_Toc93909047"/>
      <w:bookmarkStart w:id="497" w:name="_Toc48203657"/>
      <w:bookmarkStart w:id="498" w:name="_Toc93389587"/>
      <w:bookmarkStart w:id="499" w:name="_Toc12282"/>
      <w:bookmarkStart w:id="500" w:name="_Toc92982247"/>
      <w:bookmarkStart w:id="501" w:name="_Toc48203206"/>
      <w:bookmarkStart w:id="502" w:name="_Toc49876765"/>
      <w:bookmarkStart w:id="503" w:name="_Toc14581"/>
      <w:bookmarkStart w:id="504" w:name="_Toc93998978"/>
      <w:bookmarkStart w:id="505" w:name="_Toc49879944"/>
      <w:bookmarkStart w:id="506" w:name="_Toc80871088"/>
      <w:bookmarkStart w:id="507" w:name="_Toc80881037"/>
      <w:bookmarkStart w:id="508" w:name="_Toc48203498"/>
      <w:r>
        <w:rPr>
          <w:b/>
          <w:sz w:val="36"/>
          <w:szCs w:val="36"/>
          <w:highlight w:val="none"/>
        </w:rPr>
        <w:t>条文说明</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ind w:firstLine="723"/>
        <w:rPr>
          <w:b/>
          <w:sz w:val="36"/>
          <w:szCs w:val="36"/>
          <w:highlight w:val="none"/>
        </w:rPr>
      </w:pPr>
    </w:p>
    <w:p>
      <w:pPr>
        <w:ind w:firstLine="723"/>
        <w:rPr>
          <w:b/>
          <w:sz w:val="36"/>
          <w:szCs w:val="36"/>
          <w:highlight w:val="none"/>
        </w:rPr>
      </w:pPr>
    </w:p>
    <w:p>
      <w:pPr>
        <w:widowControl/>
        <w:jc w:val="left"/>
        <w:rPr>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rPr>
          <w:rFonts w:ascii="宋体" w:hAnsi="宋体"/>
          <w:szCs w:val="21"/>
          <w:highlight w:val="none"/>
        </w:rPr>
      </w:pPr>
    </w:p>
    <w:p>
      <w:pPr>
        <w:jc w:val="right"/>
        <w:rPr>
          <w:rFonts w:ascii="宋体" w:hAnsi="宋体"/>
          <w:szCs w:val="21"/>
          <w:highlight w:val="none"/>
        </w:rPr>
      </w:pPr>
    </w:p>
    <w:p>
      <w:pPr>
        <w:pStyle w:val="10"/>
        <w:spacing w:before="360" w:after="360"/>
        <w:ind w:firstLine="0"/>
        <w:jc w:val="center"/>
        <w:rPr>
          <w:rFonts w:asciiTheme="minorHAnsi" w:hAnsiTheme="minorHAnsi" w:eastAsiaTheme="minorEastAsia" w:cstheme="minorBidi"/>
          <w:b/>
          <w:kern w:val="2"/>
          <w:sz w:val="21"/>
          <w:szCs w:val="22"/>
          <w:highlight w:val="none"/>
          <w:lang w:val="en-US" w:eastAsia="zh-CN" w:bidi="ar-SA"/>
        </w:rPr>
      </w:pPr>
      <w:r>
        <w:rPr>
          <w:rFonts w:hint="eastAsia" w:ascii="仿宋" w:hAnsi="仿宋" w:eastAsia="仿宋" w:cs="Times New Roman"/>
          <w:sz w:val="28"/>
          <w:szCs w:val="28"/>
          <w:highlight w:val="none"/>
        </w:rPr>
        <w:t xml:space="preserve">目 </w:t>
      </w:r>
      <w:r>
        <w:rPr>
          <w:rFonts w:ascii="仿宋" w:hAnsi="仿宋" w:eastAsia="仿宋" w:cs="Times New Roman"/>
          <w:sz w:val="28"/>
          <w:szCs w:val="28"/>
          <w:highlight w:val="none"/>
        </w:rPr>
        <w:t xml:space="preserve">   </w:t>
      </w:r>
      <w:r>
        <w:rPr>
          <w:rFonts w:hint="eastAsia" w:ascii="仿宋" w:hAnsi="仿宋" w:eastAsia="仿宋" w:cs="Times New Roman"/>
          <w:sz w:val="28"/>
          <w:szCs w:val="28"/>
          <w:highlight w:val="none"/>
        </w:rPr>
        <w:t>次</w:t>
      </w:r>
      <w:r>
        <w:rPr>
          <w:highlight w:val="none"/>
        </w:rPr>
        <w:fldChar w:fldCharType="begin"/>
      </w:r>
      <w:r>
        <w:rPr>
          <w:highlight w:val="none"/>
        </w:rPr>
        <w:instrText xml:space="preserve">TOC \o "1-2" \h \u </w:instrText>
      </w:r>
      <w:r>
        <w:rPr>
          <w:highlight w:val="none"/>
        </w:rPr>
        <w:fldChar w:fldCharType="separate"/>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bCs w:val="0"/>
          <w:szCs w:val="28"/>
          <w:highlight w:val="none"/>
        </w:rPr>
      </w:pP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HYPERLINK \l _Toc24769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3  基 本 规 定</w:t>
      </w:r>
      <w:r>
        <w:rPr>
          <w:rFonts w:hint="eastAsia" w:ascii="宋体" w:hAnsi="宋体" w:eastAsia="宋体" w:cs="宋体"/>
          <w:bCs w:val="0"/>
          <w:sz w:val="11"/>
          <w:szCs w:val="11"/>
          <w:highlight w:val="none"/>
        </w:rPr>
        <w:tab/>
      </w: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PAGEREF _Toc24769 \h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35</w:t>
      </w:r>
      <w:r>
        <w:rPr>
          <w:rFonts w:hint="eastAsia" w:ascii="宋体" w:hAnsi="宋体" w:eastAsia="宋体" w:cs="宋体"/>
          <w:bCs w:val="0"/>
          <w:szCs w:val="28"/>
          <w:highlight w:val="none"/>
        </w:rPr>
        <w:fldChar w:fldCharType="end"/>
      </w:r>
      <w:r>
        <w:rPr>
          <w:rFonts w:hint="eastAsia" w:ascii="宋体" w:hAnsi="宋体" w:eastAsia="宋体" w:cs="宋体"/>
          <w:bCs w:val="0"/>
          <w:szCs w:val="28"/>
          <w:highlight w:val="none"/>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highlight w:val="none"/>
        </w:rPr>
      </w:pP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HYPERLINK \l _Toc30357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 xml:space="preserve">4 </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材</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料</w:t>
      </w:r>
      <w:r>
        <w:rPr>
          <w:rFonts w:hint="eastAsia" w:ascii="宋体" w:hAnsi="宋体" w:eastAsia="宋体" w:cs="宋体"/>
          <w:bCs w:val="0"/>
          <w:sz w:val="11"/>
          <w:szCs w:val="11"/>
          <w:highlight w:val="none"/>
        </w:rPr>
        <w:tab/>
      </w: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PAGEREF _Toc30357 \h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36</w:t>
      </w:r>
      <w:r>
        <w:rPr>
          <w:rFonts w:hint="eastAsia" w:ascii="宋体" w:hAnsi="宋体" w:eastAsia="宋体" w:cs="宋体"/>
          <w:bCs w:val="0"/>
          <w:szCs w:val="28"/>
          <w:highlight w:val="none"/>
        </w:rPr>
        <w:fldChar w:fldCharType="end"/>
      </w:r>
      <w:r>
        <w:rPr>
          <w:rFonts w:hint="eastAsia" w:ascii="宋体" w:hAnsi="宋体" w:eastAsia="宋体" w:cs="宋体"/>
          <w:bCs w:val="0"/>
          <w:szCs w:val="28"/>
          <w:highlight w:val="none"/>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_Toc6638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4.1  一 般 规 定</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_Toc6638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36</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_Toc20072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4.2  钢    筋</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_Toc20072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36</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_Toc9946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4.3  混 凝 土</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_Toc9946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36</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_Toc1942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4.4  预 埋 件</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_Toc1942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37</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_Toc1050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4.5  预应力材料</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_Toc1050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37</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highlight w:val="none"/>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_Toc23446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4.6  其他材料说明</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_Toc23446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37</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bCs w:val="0"/>
          <w:szCs w:val="28"/>
          <w:highlight w:val="none"/>
        </w:rPr>
      </w:pP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HYPERLINK \l _Toc12927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6  生</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产</w:t>
      </w:r>
      <w:r>
        <w:rPr>
          <w:rFonts w:hint="eastAsia" w:ascii="宋体" w:hAnsi="宋体" w:eastAsia="宋体" w:cs="宋体"/>
          <w:bCs w:val="0"/>
          <w:sz w:val="11"/>
          <w:szCs w:val="11"/>
          <w:highlight w:val="none"/>
        </w:rPr>
        <w:tab/>
      </w: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PAGEREF _Toc12927 \h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38</w:t>
      </w:r>
      <w:r>
        <w:rPr>
          <w:rFonts w:hint="eastAsia" w:ascii="宋体" w:hAnsi="宋体" w:eastAsia="宋体" w:cs="宋体"/>
          <w:bCs w:val="0"/>
          <w:szCs w:val="28"/>
          <w:highlight w:val="none"/>
        </w:rPr>
        <w:fldChar w:fldCharType="end"/>
      </w:r>
      <w:r>
        <w:rPr>
          <w:rFonts w:hint="eastAsia" w:ascii="宋体" w:hAnsi="宋体" w:eastAsia="宋体" w:cs="宋体"/>
          <w:bCs w:val="0"/>
          <w:szCs w:val="28"/>
          <w:highlight w:val="none"/>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_Toc2141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6.1  一 般 规 定</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_Toc2141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38</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_Toc24294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6.2  生产前准备</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_Toc24294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38</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_Toc23309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6.3  钢筋加工、连接与安装</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_Toc23309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38</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_Toc3776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6.4  预留和预埋</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_Toc3776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39</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_Toc17635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6.5  混凝土浇筑与养护</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_Toc17635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39</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_Toc4533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6.6  脱模与修补</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_Toc4533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39</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_Toc29885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6.8  产 品 检 查</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_Toc29885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39</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highlight w:val="none"/>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_Toc27040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6.10  预应力构件</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_Toc27040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40</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0"/>
        <w:keepNext w:val="0"/>
        <w:keepLines w:val="0"/>
        <w:pageBreakBefore w:val="0"/>
        <w:widowControl w:val="0"/>
        <w:tabs>
          <w:tab w:val="right" w:leader="dot" w:pos="9264"/>
          <w:tab w:val="clear" w:pos="1050"/>
          <w:tab w:val="clear" w:pos="13948"/>
        </w:tabs>
        <w:kinsoku/>
        <w:wordWrap/>
        <w:overflowPunct/>
        <w:topLinePunct w:val="0"/>
        <w:autoSpaceDE/>
        <w:autoSpaceDN/>
        <w:bidi w:val="0"/>
        <w:adjustRightInd/>
        <w:snapToGrid/>
        <w:ind w:left="0" w:leftChars="0" w:firstLine="0"/>
        <w:jc w:val="left"/>
        <w:textAlignment w:val="auto"/>
        <w:rPr>
          <w:rFonts w:hint="eastAsia" w:ascii="宋体" w:hAnsi="宋体" w:eastAsia="宋体" w:cs="宋体"/>
          <w:bCs w:val="0"/>
          <w:szCs w:val="28"/>
          <w:highlight w:val="none"/>
        </w:rPr>
      </w:pP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HYPERLINK \l _Toc435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 xml:space="preserve">7 </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运</w:t>
      </w:r>
      <w:r>
        <w:rPr>
          <w:rFonts w:hint="eastAsia" w:ascii="宋体" w:hAnsi="宋体" w:eastAsia="宋体" w:cs="宋体"/>
          <w:bCs w:val="0"/>
          <w:szCs w:val="28"/>
          <w:highlight w:val="none"/>
          <w:lang w:val="en-US" w:eastAsia="zh-CN"/>
        </w:rPr>
        <w:t xml:space="preserve">    </w:t>
      </w:r>
      <w:r>
        <w:rPr>
          <w:rFonts w:hint="eastAsia" w:ascii="宋体" w:hAnsi="宋体" w:eastAsia="宋体" w:cs="宋体"/>
          <w:bCs w:val="0"/>
          <w:szCs w:val="28"/>
          <w:highlight w:val="none"/>
        </w:rPr>
        <w:t>输</w:t>
      </w:r>
      <w:r>
        <w:rPr>
          <w:rFonts w:hint="eastAsia" w:ascii="宋体" w:hAnsi="宋体" w:eastAsia="宋体" w:cs="宋体"/>
          <w:bCs w:val="0"/>
          <w:sz w:val="11"/>
          <w:szCs w:val="11"/>
          <w:highlight w:val="none"/>
        </w:rPr>
        <w:tab/>
      </w:r>
      <w:r>
        <w:rPr>
          <w:rFonts w:hint="eastAsia" w:ascii="宋体" w:hAnsi="宋体" w:eastAsia="宋体" w:cs="宋体"/>
          <w:bCs w:val="0"/>
          <w:szCs w:val="28"/>
          <w:highlight w:val="none"/>
        </w:rPr>
        <w:fldChar w:fldCharType="begin"/>
      </w:r>
      <w:r>
        <w:rPr>
          <w:rFonts w:hint="eastAsia" w:ascii="宋体" w:hAnsi="宋体" w:eastAsia="宋体" w:cs="宋体"/>
          <w:bCs w:val="0"/>
          <w:szCs w:val="28"/>
          <w:highlight w:val="none"/>
        </w:rPr>
        <w:instrText xml:space="preserve"> PAGEREF _Toc435 \h </w:instrText>
      </w:r>
      <w:r>
        <w:rPr>
          <w:rFonts w:hint="eastAsia" w:ascii="宋体" w:hAnsi="宋体" w:eastAsia="宋体" w:cs="宋体"/>
          <w:bCs w:val="0"/>
          <w:szCs w:val="28"/>
          <w:highlight w:val="none"/>
        </w:rPr>
        <w:fldChar w:fldCharType="separate"/>
      </w:r>
      <w:r>
        <w:rPr>
          <w:rFonts w:hint="eastAsia" w:ascii="宋体" w:hAnsi="宋体" w:eastAsia="宋体" w:cs="宋体"/>
          <w:bCs w:val="0"/>
          <w:szCs w:val="28"/>
          <w:highlight w:val="none"/>
        </w:rPr>
        <w:t>41</w:t>
      </w:r>
      <w:r>
        <w:rPr>
          <w:rFonts w:hint="eastAsia" w:ascii="宋体" w:hAnsi="宋体" w:eastAsia="宋体" w:cs="宋体"/>
          <w:bCs w:val="0"/>
          <w:szCs w:val="28"/>
          <w:highlight w:val="none"/>
        </w:rPr>
        <w:fldChar w:fldCharType="end"/>
      </w:r>
      <w:r>
        <w:rPr>
          <w:rFonts w:hint="eastAsia" w:ascii="宋体" w:hAnsi="宋体" w:eastAsia="宋体" w:cs="宋体"/>
          <w:bCs w:val="0"/>
          <w:szCs w:val="28"/>
          <w:highlight w:val="none"/>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_Toc9018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7.1  一 般 规 定</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_Toc9018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41</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_Toc22421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7.2  运 输 准 备</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_Toc22421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41</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rFonts w:hint="eastAsia" w:ascii="宋体" w:hAnsi="宋体" w:eastAsia="宋体" w:cs="宋体"/>
          <w:bCs/>
          <w:kern w:val="2"/>
          <w:sz w:val="18"/>
          <w:szCs w:val="18"/>
          <w:highlight w:val="none"/>
          <w:lang w:val="en-US" w:eastAsia="zh-CN" w:bidi="ar-SA"/>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_Toc11552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7.4  装    车</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_Toc11552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41</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pStyle w:val="11"/>
        <w:keepNext w:val="0"/>
        <w:keepLines w:val="0"/>
        <w:pageBreakBefore w:val="0"/>
        <w:widowControl w:val="0"/>
        <w:tabs>
          <w:tab w:val="right" w:leader="dot" w:pos="9264"/>
        </w:tabs>
        <w:kinsoku/>
        <w:wordWrap/>
        <w:overflowPunct/>
        <w:topLinePunct w:val="0"/>
        <w:autoSpaceDE/>
        <w:autoSpaceDN/>
        <w:bidi w:val="0"/>
        <w:adjustRightInd/>
        <w:snapToGrid/>
        <w:ind w:left="0" w:leftChars="0" w:firstLine="360" w:firstLineChars="200"/>
        <w:jc w:val="left"/>
        <w:textAlignment w:val="auto"/>
        <w:rPr>
          <w:highlight w:val="none"/>
        </w:rPr>
      </w:pP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HYPERLINK \l _Toc23638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7.6  卸    车</w:t>
      </w:r>
      <w:r>
        <w:rPr>
          <w:rFonts w:hint="eastAsia" w:ascii="宋体" w:hAnsi="宋体" w:eastAsia="宋体" w:cs="宋体"/>
          <w:bCs/>
          <w:kern w:val="2"/>
          <w:sz w:val="11"/>
          <w:szCs w:val="11"/>
          <w:highlight w:val="none"/>
          <w:lang w:val="en-US" w:eastAsia="zh-CN" w:bidi="ar-SA"/>
        </w:rPr>
        <w:tab/>
      </w:r>
      <w:r>
        <w:rPr>
          <w:rFonts w:hint="eastAsia" w:ascii="宋体" w:hAnsi="宋体" w:eastAsia="宋体" w:cs="宋体"/>
          <w:bCs/>
          <w:kern w:val="2"/>
          <w:sz w:val="18"/>
          <w:szCs w:val="18"/>
          <w:highlight w:val="none"/>
          <w:lang w:val="en-US" w:eastAsia="zh-CN" w:bidi="ar-SA"/>
        </w:rPr>
        <w:fldChar w:fldCharType="begin"/>
      </w:r>
      <w:r>
        <w:rPr>
          <w:rFonts w:hint="eastAsia" w:ascii="宋体" w:hAnsi="宋体" w:eastAsia="宋体" w:cs="宋体"/>
          <w:bCs/>
          <w:kern w:val="2"/>
          <w:sz w:val="18"/>
          <w:szCs w:val="18"/>
          <w:highlight w:val="none"/>
          <w:lang w:val="en-US" w:eastAsia="zh-CN" w:bidi="ar-SA"/>
        </w:rPr>
        <w:instrText xml:space="preserve"> PAGEREF _Toc23638 \h </w:instrText>
      </w:r>
      <w:r>
        <w:rPr>
          <w:rFonts w:hint="eastAsia" w:ascii="宋体" w:hAnsi="宋体" w:eastAsia="宋体" w:cs="宋体"/>
          <w:bCs/>
          <w:kern w:val="2"/>
          <w:sz w:val="18"/>
          <w:szCs w:val="18"/>
          <w:highlight w:val="none"/>
          <w:lang w:val="en-US" w:eastAsia="zh-CN" w:bidi="ar-SA"/>
        </w:rPr>
        <w:fldChar w:fldCharType="separate"/>
      </w:r>
      <w:r>
        <w:rPr>
          <w:rFonts w:hint="eastAsia" w:ascii="宋体" w:hAnsi="宋体" w:eastAsia="宋体" w:cs="宋体"/>
          <w:bCs/>
          <w:kern w:val="2"/>
          <w:sz w:val="18"/>
          <w:szCs w:val="18"/>
          <w:highlight w:val="none"/>
          <w:lang w:val="en-US" w:eastAsia="zh-CN" w:bidi="ar-SA"/>
        </w:rPr>
        <w:t>41</w:t>
      </w:r>
      <w:r>
        <w:rPr>
          <w:rFonts w:hint="eastAsia" w:ascii="宋体" w:hAnsi="宋体" w:eastAsia="宋体" w:cs="宋体"/>
          <w:bCs/>
          <w:kern w:val="2"/>
          <w:sz w:val="18"/>
          <w:szCs w:val="18"/>
          <w:highlight w:val="none"/>
          <w:lang w:val="en-US" w:eastAsia="zh-CN" w:bidi="ar-SA"/>
        </w:rPr>
        <w:fldChar w:fldCharType="end"/>
      </w:r>
      <w:r>
        <w:rPr>
          <w:rFonts w:hint="eastAsia" w:ascii="宋体" w:hAnsi="宋体" w:eastAsia="宋体" w:cs="宋体"/>
          <w:bCs/>
          <w:kern w:val="2"/>
          <w:sz w:val="18"/>
          <w:szCs w:val="18"/>
          <w:highlight w:val="none"/>
          <w:lang w:val="en-US" w:eastAsia="zh-CN" w:bidi="ar-SA"/>
        </w:rPr>
        <w:fldChar w:fldCharType="end"/>
      </w:r>
    </w:p>
    <w:p>
      <w:pPr>
        <w:rPr>
          <w:b/>
          <w:highlight w:val="none"/>
        </w:rPr>
      </w:pPr>
      <w:r>
        <w:rPr>
          <w:b/>
          <w:highlight w:val="none"/>
        </w:rPr>
        <w:fldChar w:fldCharType="end"/>
      </w:r>
    </w:p>
    <w:p>
      <w:pPr>
        <w:rPr>
          <w:rFonts w:ascii="宋体" w:hAnsi="宋体"/>
          <w:szCs w:val="21"/>
          <w:highlight w:val="none"/>
        </w:rPr>
      </w:pPr>
      <w:r>
        <w:rPr>
          <w:rFonts w:ascii="宋体" w:hAnsi="宋体"/>
          <w:szCs w:val="21"/>
          <w:highlight w:val="none"/>
        </w:rPr>
        <w:br w:type="page"/>
      </w:r>
    </w:p>
    <w:p>
      <w:pPr>
        <w:keepNext/>
        <w:keepLines/>
        <w:spacing w:before="360" w:after="360" w:line="240" w:lineRule="auto"/>
        <w:jc w:val="center"/>
        <w:outlineLvl w:val="9"/>
        <w:rPr>
          <w:rStyle w:val="23"/>
          <w:rFonts w:ascii="宋体" w:hAnsi="宋体" w:eastAsia="宋体"/>
          <w:b w:val="0"/>
          <w:bCs w:val="0"/>
          <w:sz w:val="28"/>
          <w:szCs w:val="28"/>
          <w:highlight w:val="none"/>
        </w:rPr>
      </w:pPr>
      <w:bookmarkStart w:id="509" w:name="_Toc20436"/>
      <w:bookmarkStart w:id="510" w:name="_Toc12122"/>
      <w:bookmarkStart w:id="511" w:name="_Toc24769"/>
      <w:r>
        <w:rPr>
          <w:rStyle w:val="23"/>
          <w:rFonts w:ascii="Times New Roman" w:hAnsi="Times New Roman" w:cs="Times New Roman"/>
          <w:sz w:val="28"/>
          <w:szCs w:val="28"/>
          <w:highlight w:val="none"/>
        </w:rPr>
        <w:t>3</w:t>
      </w:r>
      <w:r>
        <w:rPr>
          <w:rStyle w:val="23"/>
          <w:rFonts w:hint="eastAsia" w:ascii="宋体" w:hAnsi="宋体"/>
          <w:sz w:val="28"/>
          <w:szCs w:val="28"/>
          <w:highlight w:val="none"/>
        </w:rPr>
        <w:t xml:space="preserve">  </w:t>
      </w:r>
      <w:r>
        <w:rPr>
          <w:rStyle w:val="23"/>
          <w:rFonts w:hint="eastAsia" w:ascii="宋体" w:hAnsi="宋体" w:eastAsia="宋体"/>
          <w:b w:val="0"/>
          <w:bCs w:val="0"/>
          <w:sz w:val="28"/>
          <w:szCs w:val="28"/>
          <w:highlight w:val="none"/>
        </w:rPr>
        <w:t>基 本 规 定</w:t>
      </w:r>
      <w:bookmarkEnd w:id="509"/>
      <w:bookmarkEnd w:id="510"/>
      <w:bookmarkEnd w:id="511"/>
    </w:p>
    <w:p>
      <w:pPr>
        <w:spacing w:line="240" w:lineRule="auto"/>
        <w:rPr>
          <w:rFonts w:hint="eastAsia"/>
          <w:bCs/>
          <w:szCs w:val="21"/>
          <w:highlight w:val="none"/>
        </w:rPr>
      </w:pPr>
      <w:r>
        <w:rPr>
          <w:b/>
          <w:bCs/>
          <w:szCs w:val="21"/>
          <w:highlight w:val="none"/>
        </w:rPr>
        <w:t>3</w:t>
      </w:r>
      <w:r>
        <w:rPr>
          <w:rFonts w:hint="eastAsia" w:ascii="宋体" w:hAnsi="宋体" w:eastAsia="宋体" w:cs="宋体"/>
          <w:b/>
          <w:bCs/>
          <w:szCs w:val="21"/>
          <w:highlight w:val="none"/>
        </w:rPr>
        <w:t>.</w:t>
      </w:r>
      <w:r>
        <w:rPr>
          <w:b/>
          <w:bCs/>
          <w:szCs w:val="21"/>
          <w:highlight w:val="none"/>
        </w:rPr>
        <w:t>0</w:t>
      </w:r>
      <w:r>
        <w:rPr>
          <w:rFonts w:hint="eastAsia" w:ascii="宋体" w:hAnsi="宋体" w:eastAsia="宋体" w:cs="宋体"/>
          <w:b/>
          <w:bCs/>
          <w:szCs w:val="21"/>
          <w:highlight w:val="none"/>
        </w:rPr>
        <w:t>.</w:t>
      </w:r>
      <w:r>
        <w:rPr>
          <w:b/>
          <w:bCs/>
          <w:szCs w:val="21"/>
          <w:highlight w:val="none"/>
        </w:rPr>
        <w:t xml:space="preserve">1 </w:t>
      </w:r>
      <w:r>
        <w:rPr>
          <w:rFonts w:hint="eastAsia"/>
          <w:b/>
          <w:bCs/>
          <w:szCs w:val="21"/>
          <w:highlight w:val="none"/>
          <w:lang w:val="en-US" w:eastAsia="zh-CN"/>
        </w:rPr>
        <w:t xml:space="preserve"> </w:t>
      </w:r>
      <w:r>
        <w:rPr>
          <w:rFonts w:hint="eastAsia"/>
          <w:bCs/>
          <w:szCs w:val="21"/>
          <w:highlight w:val="none"/>
        </w:rPr>
        <w:t>建立完善的生产管理体系和运输管理体系，有利于加强管理和落实责任制</w:t>
      </w:r>
      <w:r>
        <w:rPr>
          <w:rFonts w:hint="eastAsia"/>
          <w:bCs/>
          <w:szCs w:val="21"/>
          <w:highlight w:val="none"/>
          <w:lang w:eastAsia="zh-CN"/>
        </w:rPr>
        <w:t>，</w:t>
      </w:r>
      <w:r>
        <w:rPr>
          <w:rFonts w:hint="eastAsia"/>
          <w:bCs/>
          <w:szCs w:val="21"/>
          <w:highlight w:val="none"/>
        </w:rPr>
        <w:t>这是保证产品质量、安全生产和安全运输的前提，也是组成装配式建筑一体化管理体系的重要部分。</w:t>
      </w:r>
    </w:p>
    <w:p>
      <w:pPr>
        <w:spacing w:line="240" w:lineRule="auto"/>
        <w:rPr>
          <w:rFonts w:hint="eastAsia"/>
          <w:bCs/>
          <w:szCs w:val="21"/>
          <w:highlight w:val="none"/>
        </w:rPr>
      </w:pPr>
      <w:r>
        <w:rPr>
          <w:rFonts w:hint="eastAsia"/>
          <w:b/>
          <w:bCs/>
          <w:szCs w:val="21"/>
          <w:highlight w:val="none"/>
        </w:rPr>
        <w:t>3</w:t>
      </w:r>
      <w:r>
        <w:rPr>
          <w:rFonts w:hint="eastAsia" w:ascii="宋体" w:hAnsi="宋体" w:eastAsia="宋体" w:cs="宋体"/>
          <w:b/>
          <w:bCs/>
          <w:szCs w:val="21"/>
          <w:highlight w:val="none"/>
        </w:rPr>
        <w:t>.</w:t>
      </w:r>
      <w:r>
        <w:rPr>
          <w:rFonts w:hint="eastAsia"/>
          <w:b/>
          <w:bCs/>
          <w:szCs w:val="21"/>
          <w:highlight w:val="none"/>
        </w:rPr>
        <w:t>0</w:t>
      </w:r>
      <w:r>
        <w:rPr>
          <w:rFonts w:hint="eastAsia" w:ascii="宋体" w:hAnsi="宋体" w:eastAsia="宋体" w:cs="宋体"/>
          <w:b/>
          <w:bCs/>
          <w:szCs w:val="21"/>
          <w:highlight w:val="none"/>
        </w:rPr>
        <w:t>.</w:t>
      </w:r>
      <w:r>
        <w:rPr>
          <w:rFonts w:hint="eastAsia"/>
          <w:b/>
          <w:bCs/>
          <w:szCs w:val="21"/>
          <w:highlight w:val="none"/>
        </w:rPr>
        <w:t>2-3</w:t>
      </w:r>
      <w:r>
        <w:rPr>
          <w:rFonts w:hint="eastAsia" w:ascii="宋体" w:hAnsi="宋体" w:eastAsia="宋体" w:cs="宋体"/>
          <w:b/>
          <w:bCs/>
          <w:szCs w:val="21"/>
          <w:highlight w:val="none"/>
        </w:rPr>
        <w:t>.</w:t>
      </w:r>
      <w:r>
        <w:rPr>
          <w:rFonts w:hint="eastAsia"/>
          <w:b/>
          <w:bCs/>
          <w:szCs w:val="21"/>
          <w:highlight w:val="none"/>
        </w:rPr>
        <w:t>0</w:t>
      </w:r>
      <w:r>
        <w:rPr>
          <w:rFonts w:hint="eastAsia" w:ascii="宋体" w:hAnsi="宋体" w:eastAsia="宋体" w:cs="宋体"/>
          <w:b/>
          <w:bCs/>
          <w:szCs w:val="21"/>
          <w:highlight w:val="none"/>
        </w:rPr>
        <w:t>.</w:t>
      </w:r>
      <w:r>
        <w:rPr>
          <w:rFonts w:hint="eastAsia"/>
          <w:b/>
          <w:bCs/>
          <w:szCs w:val="21"/>
          <w:highlight w:val="none"/>
        </w:rPr>
        <w:t>3</w:t>
      </w:r>
      <w:r>
        <w:rPr>
          <w:b/>
          <w:szCs w:val="21"/>
          <w:highlight w:val="none"/>
        </w:rPr>
        <w:t xml:space="preserve"> </w:t>
      </w:r>
      <w:r>
        <w:rPr>
          <w:rFonts w:hint="eastAsia"/>
          <w:b/>
          <w:szCs w:val="21"/>
          <w:highlight w:val="none"/>
          <w:lang w:val="en-US" w:eastAsia="zh-CN"/>
        </w:rPr>
        <w:t xml:space="preserve"> </w:t>
      </w:r>
      <w:r>
        <w:rPr>
          <w:rFonts w:hint="eastAsia"/>
          <w:bCs/>
          <w:szCs w:val="21"/>
          <w:highlight w:val="none"/>
        </w:rPr>
        <w:t>本条文基于《深圳市推进新型建筑工业化发展行动方案（2023-2025）》，其中提出加强信息化赋能，促进智能建造协同发展的重点任务，鼓励企业提升自动化生产水平，加速智慧施工技术应用；提出运用市场化机制，构建通用化部品体系的重点任务，鼓励大力发展应用绿色建材。</w:t>
      </w:r>
    </w:p>
    <w:p>
      <w:pPr>
        <w:spacing w:line="240" w:lineRule="auto"/>
        <w:rPr>
          <w:rFonts w:hint="eastAsia"/>
          <w:bCs/>
          <w:szCs w:val="21"/>
          <w:highlight w:val="none"/>
        </w:rPr>
      </w:pPr>
      <w:r>
        <w:rPr>
          <w:rFonts w:hint="eastAsia"/>
          <w:b/>
          <w:bCs/>
          <w:szCs w:val="21"/>
          <w:highlight w:val="none"/>
        </w:rPr>
        <w:t>3</w:t>
      </w:r>
      <w:r>
        <w:rPr>
          <w:rFonts w:hint="eastAsia" w:ascii="宋体" w:hAnsi="宋体" w:eastAsia="宋体" w:cs="宋体"/>
          <w:b/>
          <w:bCs/>
          <w:szCs w:val="21"/>
          <w:highlight w:val="none"/>
        </w:rPr>
        <w:t>.</w:t>
      </w:r>
      <w:r>
        <w:rPr>
          <w:b/>
          <w:bCs/>
          <w:szCs w:val="21"/>
          <w:highlight w:val="none"/>
        </w:rPr>
        <w:t>0</w:t>
      </w:r>
      <w:r>
        <w:rPr>
          <w:rFonts w:hint="eastAsia" w:ascii="宋体" w:hAnsi="宋体" w:eastAsia="宋体" w:cs="宋体"/>
          <w:b/>
          <w:bCs/>
          <w:szCs w:val="21"/>
          <w:highlight w:val="none"/>
        </w:rPr>
        <w:t>.</w:t>
      </w:r>
      <w:r>
        <w:rPr>
          <w:b/>
          <w:bCs/>
          <w:szCs w:val="21"/>
          <w:highlight w:val="none"/>
        </w:rPr>
        <w:t>4-3</w:t>
      </w:r>
      <w:r>
        <w:rPr>
          <w:rFonts w:hint="eastAsia" w:ascii="宋体" w:hAnsi="宋体" w:eastAsia="宋体" w:cs="宋体"/>
          <w:b/>
          <w:bCs/>
          <w:szCs w:val="21"/>
          <w:highlight w:val="none"/>
        </w:rPr>
        <w:t>.</w:t>
      </w:r>
      <w:r>
        <w:rPr>
          <w:b/>
          <w:bCs/>
          <w:szCs w:val="21"/>
          <w:highlight w:val="none"/>
        </w:rPr>
        <w:t>0</w:t>
      </w:r>
      <w:r>
        <w:rPr>
          <w:rFonts w:hint="eastAsia" w:ascii="宋体" w:hAnsi="宋体" w:eastAsia="宋体" w:cs="宋体"/>
          <w:b/>
          <w:bCs/>
          <w:szCs w:val="21"/>
          <w:highlight w:val="none"/>
        </w:rPr>
        <w:t>.</w:t>
      </w:r>
      <w:r>
        <w:rPr>
          <w:b/>
          <w:bCs/>
          <w:szCs w:val="21"/>
          <w:highlight w:val="none"/>
        </w:rPr>
        <w:t>5</w:t>
      </w:r>
      <w:r>
        <w:rPr>
          <w:rFonts w:hint="eastAsia"/>
          <w:b/>
          <w:bCs/>
          <w:szCs w:val="21"/>
          <w:highlight w:val="none"/>
        </w:rPr>
        <w:t xml:space="preserve"> </w:t>
      </w:r>
      <w:r>
        <w:rPr>
          <w:rFonts w:hint="eastAsia"/>
          <w:b/>
          <w:bCs/>
          <w:szCs w:val="21"/>
          <w:highlight w:val="none"/>
          <w:lang w:val="en-US" w:eastAsia="zh-CN"/>
        </w:rPr>
        <w:t xml:space="preserve"> </w:t>
      </w:r>
      <w:r>
        <w:rPr>
          <w:rFonts w:hint="eastAsia"/>
          <w:bCs/>
          <w:szCs w:val="21"/>
          <w:highlight w:val="none"/>
        </w:rPr>
        <w:t>一份完整的预制混凝土构件加工详图应由设计院、构件生产单位、施工总承包单位共同参与完成。设计深度应满足预制混凝土构件生产、工程量统计的需求和安装施工的要求，预埋件图中要表示出建筑、结构、设备各专业和施工过程所需的各种预埋件和预留洞等；外装饰图还要表示出外装饰材的铺贴排布详细尺寸。构件生产单位应对构件制作图纸进行工艺性审查，对构件施工的不便之处或图纸与实际不符之处，应积极与设计单位进行沟通。构件生产、运输及吊装过程涉及的存放架、吊架、临时安装支撑等根据需要由深化单位提供设计详图，构件生产单位负责制作供应。</w:t>
      </w:r>
    </w:p>
    <w:p>
      <w:pPr>
        <w:spacing w:line="240" w:lineRule="auto"/>
        <w:rPr>
          <w:rFonts w:hint="eastAsia"/>
          <w:bCs/>
          <w:szCs w:val="21"/>
          <w:highlight w:val="none"/>
        </w:rPr>
      </w:pPr>
      <w:r>
        <w:rPr>
          <w:rFonts w:hint="eastAsia"/>
          <w:b/>
          <w:bCs/>
          <w:szCs w:val="21"/>
          <w:highlight w:val="none"/>
        </w:rPr>
        <w:t>3</w:t>
      </w:r>
      <w:r>
        <w:rPr>
          <w:rFonts w:hint="eastAsia" w:ascii="宋体" w:hAnsi="宋体" w:eastAsia="宋体" w:cs="宋体"/>
          <w:b/>
          <w:bCs/>
          <w:szCs w:val="21"/>
          <w:highlight w:val="none"/>
        </w:rPr>
        <w:t>.</w:t>
      </w:r>
      <w:r>
        <w:rPr>
          <w:b/>
          <w:bCs/>
          <w:szCs w:val="21"/>
          <w:highlight w:val="none"/>
        </w:rPr>
        <w:t>0</w:t>
      </w:r>
      <w:r>
        <w:rPr>
          <w:rFonts w:hint="eastAsia" w:ascii="宋体" w:hAnsi="宋体" w:eastAsia="宋体" w:cs="宋体"/>
          <w:b/>
          <w:bCs/>
          <w:szCs w:val="21"/>
          <w:highlight w:val="none"/>
        </w:rPr>
        <w:t>.</w:t>
      </w:r>
      <w:r>
        <w:rPr>
          <w:b/>
          <w:bCs/>
          <w:szCs w:val="21"/>
          <w:highlight w:val="none"/>
        </w:rPr>
        <w:t xml:space="preserve">7 </w:t>
      </w:r>
      <w:r>
        <w:rPr>
          <w:rFonts w:hint="eastAsia"/>
          <w:b/>
          <w:bCs/>
          <w:szCs w:val="21"/>
          <w:highlight w:val="none"/>
          <w:lang w:val="en-US" w:eastAsia="zh-CN"/>
        </w:rPr>
        <w:t xml:space="preserve"> </w:t>
      </w:r>
      <w:r>
        <w:rPr>
          <w:rFonts w:hint="eastAsia"/>
          <w:bCs/>
          <w:szCs w:val="21"/>
          <w:highlight w:val="none"/>
        </w:rPr>
        <w:t>在预制混凝土构件生产过程中需要进行钢筋、混凝土和成品质量等的日常试验和检测。良好预制混凝土构件企业应配备开展日常试验检测工作的实验室。实验室应能满足构件生产原材料必试项目的试验检测要求，而其他试验检测项目可委托有资质的检测机构进行。</w:t>
      </w:r>
    </w:p>
    <w:p>
      <w:pPr>
        <w:spacing w:line="240" w:lineRule="auto"/>
        <w:rPr>
          <w:rFonts w:hint="eastAsia"/>
          <w:bCs/>
          <w:szCs w:val="21"/>
          <w:highlight w:val="none"/>
        </w:rPr>
      </w:pPr>
      <w:r>
        <w:rPr>
          <w:b/>
          <w:bCs/>
          <w:szCs w:val="21"/>
          <w:highlight w:val="none"/>
        </w:rPr>
        <w:t>3</w:t>
      </w:r>
      <w:r>
        <w:rPr>
          <w:rFonts w:hint="eastAsia" w:ascii="宋体" w:hAnsi="宋体" w:eastAsia="宋体" w:cs="宋体"/>
          <w:b/>
          <w:bCs/>
          <w:szCs w:val="21"/>
          <w:highlight w:val="none"/>
        </w:rPr>
        <w:t>.</w:t>
      </w:r>
      <w:r>
        <w:rPr>
          <w:b/>
          <w:bCs/>
          <w:szCs w:val="21"/>
          <w:highlight w:val="none"/>
        </w:rPr>
        <w:t>0</w:t>
      </w:r>
      <w:r>
        <w:rPr>
          <w:rFonts w:hint="eastAsia" w:ascii="宋体" w:hAnsi="宋体" w:eastAsia="宋体" w:cs="宋体"/>
          <w:b/>
          <w:bCs/>
          <w:szCs w:val="21"/>
          <w:highlight w:val="none"/>
        </w:rPr>
        <w:t>.</w:t>
      </w:r>
      <w:r>
        <w:rPr>
          <w:b/>
          <w:bCs/>
          <w:szCs w:val="21"/>
          <w:highlight w:val="none"/>
        </w:rPr>
        <w:t xml:space="preserve">9 </w:t>
      </w:r>
      <w:r>
        <w:rPr>
          <w:rFonts w:hint="eastAsia"/>
          <w:b/>
          <w:bCs/>
          <w:szCs w:val="21"/>
          <w:highlight w:val="none"/>
          <w:lang w:val="en-US" w:eastAsia="zh-CN"/>
        </w:rPr>
        <w:t xml:space="preserve"> </w:t>
      </w:r>
      <w:r>
        <w:rPr>
          <w:rFonts w:hint="eastAsia"/>
          <w:bCs/>
          <w:szCs w:val="21"/>
          <w:highlight w:val="none"/>
        </w:rPr>
        <w:t>采用新技术、新工艺、新材料、新设备时，应制定可行的技术措施。设计文件中规定使用新技术、新工艺、新材料时，生产单位应依据设计要求进行生产。生产单位若使用新技术、新工艺、新材料时，可能会影响到产品的质量，必要时应试制样品，并经建设、设计、施工和监理单位核准后方可实施。本条的“新工艺”系指以前未在任何工程中应用的工艺。</w:t>
      </w:r>
    </w:p>
    <w:p>
      <w:pPr>
        <w:spacing w:line="240" w:lineRule="auto"/>
        <w:rPr>
          <w:rFonts w:hint="eastAsia"/>
          <w:bCs/>
          <w:szCs w:val="21"/>
          <w:highlight w:val="none"/>
        </w:rPr>
      </w:pPr>
      <w:r>
        <w:rPr>
          <w:b/>
          <w:bCs/>
          <w:szCs w:val="21"/>
          <w:highlight w:val="none"/>
        </w:rPr>
        <w:t>3</w:t>
      </w:r>
      <w:r>
        <w:rPr>
          <w:rFonts w:hint="eastAsia" w:ascii="宋体" w:hAnsi="宋体" w:eastAsia="宋体" w:cs="宋体"/>
          <w:b/>
          <w:bCs/>
          <w:szCs w:val="21"/>
          <w:highlight w:val="none"/>
        </w:rPr>
        <w:t>.</w:t>
      </w:r>
      <w:r>
        <w:rPr>
          <w:b/>
          <w:bCs/>
          <w:szCs w:val="21"/>
          <w:highlight w:val="none"/>
        </w:rPr>
        <w:t>0</w:t>
      </w:r>
      <w:r>
        <w:rPr>
          <w:rFonts w:hint="eastAsia" w:ascii="宋体" w:hAnsi="宋体" w:eastAsia="宋体" w:cs="宋体"/>
          <w:b/>
          <w:bCs/>
          <w:szCs w:val="21"/>
          <w:highlight w:val="none"/>
        </w:rPr>
        <w:t>.</w:t>
      </w:r>
      <w:r>
        <w:rPr>
          <w:b/>
          <w:bCs/>
          <w:szCs w:val="21"/>
          <w:highlight w:val="none"/>
        </w:rPr>
        <w:t xml:space="preserve">10 </w:t>
      </w:r>
      <w:r>
        <w:rPr>
          <w:rFonts w:hint="eastAsia"/>
          <w:b/>
          <w:bCs/>
          <w:szCs w:val="21"/>
          <w:highlight w:val="none"/>
          <w:lang w:val="en-US" w:eastAsia="zh-CN"/>
        </w:rPr>
        <w:t xml:space="preserve"> </w:t>
      </w:r>
      <w:r>
        <w:rPr>
          <w:rFonts w:hint="eastAsia"/>
          <w:bCs/>
          <w:szCs w:val="21"/>
          <w:highlight w:val="none"/>
        </w:rPr>
        <w:t>《机动车运行安全技术条件》GB 7258中明确规定了车辆的宽度、长度。预制混凝土构件的运输应根据实际路况，构件尺寸和堆叠情况等选择相应车辆型号，确保运输安全。当运输超限时，应办理相应的超限运输手续，必要时应编制专项运输方案并严格执行。</w:t>
      </w:r>
    </w:p>
    <w:p>
      <w:pPr>
        <w:spacing w:line="240" w:lineRule="auto"/>
        <w:rPr>
          <w:rFonts w:hint="eastAsia"/>
          <w:bCs/>
          <w:szCs w:val="21"/>
          <w:highlight w:val="none"/>
        </w:rPr>
      </w:pPr>
      <w:r>
        <w:rPr>
          <w:rFonts w:hint="eastAsia"/>
          <w:b/>
          <w:bCs/>
          <w:szCs w:val="21"/>
          <w:highlight w:val="none"/>
        </w:rPr>
        <w:t>3</w:t>
      </w:r>
      <w:r>
        <w:rPr>
          <w:rFonts w:hint="eastAsia" w:ascii="宋体" w:hAnsi="宋体" w:eastAsia="宋体" w:cs="宋体"/>
          <w:b/>
          <w:bCs/>
          <w:szCs w:val="21"/>
          <w:highlight w:val="none"/>
        </w:rPr>
        <w:t>.</w:t>
      </w:r>
      <w:r>
        <w:rPr>
          <w:rFonts w:hint="eastAsia"/>
          <w:b/>
          <w:bCs/>
          <w:szCs w:val="21"/>
          <w:highlight w:val="none"/>
        </w:rPr>
        <w:t>0</w:t>
      </w:r>
      <w:r>
        <w:rPr>
          <w:rFonts w:hint="eastAsia" w:ascii="宋体" w:hAnsi="宋体" w:eastAsia="宋体" w:cs="宋体"/>
          <w:b/>
          <w:bCs/>
          <w:szCs w:val="21"/>
          <w:highlight w:val="none"/>
        </w:rPr>
        <w:t>.</w:t>
      </w:r>
      <w:r>
        <w:rPr>
          <w:rFonts w:hint="eastAsia"/>
          <w:b/>
          <w:bCs/>
          <w:szCs w:val="21"/>
          <w:highlight w:val="none"/>
        </w:rPr>
        <w:t>11</w:t>
      </w:r>
      <w:r>
        <w:rPr>
          <w:rFonts w:hint="eastAsia"/>
          <w:szCs w:val="21"/>
          <w:highlight w:val="none"/>
        </w:rPr>
        <w:t xml:space="preserve"> </w:t>
      </w:r>
      <w:r>
        <w:rPr>
          <w:rFonts w:hint="eastAsia"/>
          <w:szCs w:val="21"/>
          <w:highlight w:val="none"/>
          <w:lang w:val="en-US" w:eastAsia="zh-CN"/>
        </w:rPr>
        <w:t xml:space="preserve"> </w:t>
      </w:r>
      <w:r>
        <w:rPr>
          <w:rFonts w:hint="eastAsia"/>
          <w:bCs/>
          <w:szCs w:val="21"/>
          <w:highlight w:val="none"/>
        </w:rPr>
        <w:t>预制混凝土构件生产过程应建立健全的安全管理制度，落实各级各类人员的安全生产责任制，提高安全生产意识并定期开展安全隐患排查和专项整治。</w:t>
      </w:r>
    </w:p>
    <w:p>
      <w:pPr>
        <w:spacing w:line="240" w:lineRule="auto"/>
        <w:rPr>
          <w:rFonts w:hint="eastAsia"/>
          <w:bCs/>
          <w:szCs w:val="21"/>
          <w:highlight w:val="none"/>
        </w:rPr>
      </w:pPr>
      <w:r>
        <w:rPr>
          <w:rFonts w:hint="eastAsia"/>
          <w:b/>
          <w:bCs/>
          <w:szCs w:val="21"/>
          <w:highlight w:val="none"/>
        </w:rPr>
        <w:t>3</w:t>
      </w:r>
      <w:r>
        <w:rPr>
          <w:rFonts w:hint="eastAsia" w:ascii="宋体" w:hAnsi="宋体" w:eastAsia="宋体" w:cs="宋体"/>
          <w:b/>
          <w:bCs/>
          <w:szCs w:val="21"/>
          <w:highlight w:val="none"/>
        </w:rPr>
        <w:t>.</w:t>
      </w:r>
      <w:r>
        <w:rPr>
          <w:rFonts w:hint="eastAsia"/>
          <w:b/>
          <w:bCs/>
          <w:szCs w:val="21"/>
          <w:highlight w:val="none"/>
        </w:rPr>
        <w:t>0</w:t>
      </w:r>
      <w:r>
        <w:rPr>
          <w:rFonts w:hint="eastAsia" w:ascii="宋体" w:hAnsi="宋体" w:eastAsia="宋体" w:cs="宋体"/>
          <w:b/>
          <w:bCs/>
          <w:szCs w:val="21"/>
          <w:highlight w:val="none"/>
        </w:rPr>
        <w:t>.</w:t>
      </w:r>
      <w:r>
        <w:rPr>
          <w:rFonts w:hint="eastAsia"/>
          <w:b/>
          <w:bCs/>
          <w:szCs w:val="21"/>
          <w:highlight w:val="none"/>
        </w:rPr>
        <w:t>12</w:t>
      </w:r>
      <w:r>
        <w:rPr>
          <w:rFonts w:hint="eastAsia" w:ascii="Times New Roman" w:hAnsi="Times New Roman" w:eastAsia="宋体" w:cs="Times New Roman"/>
          <w:szCs w:val="21"/>
          <w:highlight w:val="none"/>
        </w:rPr>
        <w:t xml:space="preserve"> </w:t>
      </w:r>
      <w:r>
        <w:rPr>
          <w:rFonts w:hint="eastAsia" w:ascii="Times New Roman" w:hAnsi="Times New Roman" w:eastAsia="宋体" w:cs="Times New Roman"/>
          <w:szCs w:val="21"/>
          <w:highlight w:val="none"/>
          <w:lang w:val="en-US" w:eastAsia="zh-CN"/>
        </w:rPr>
        <w:t xml:space="preserve"> </w:t>
      </w:r>
      <w:r>
        <w:rPr>
          <w:rFonts w:hint="eastAsia"/>
          <w:bCs/>
          <w:szCs w:val="21"/>
          <w:highlight w:val="none"/>
        </w:rPr>
        <w:t>应深圳市绿色建造要求，构件生产单位应牢固绿色发展理念，强化环境保护意识，建立健全碳排放管控机制。</w:t>
      </w:r>
    </w:p>
    <w:p>
      <w:pPr>
        <w:spacing w:line="240" w:lineRule="auto"/>
        <w:rPr>
          <w:rFonts w:hint="eastAsia"/>
          <w:szCs w:val="21"/>
          <w:highlight w:val="none"/>
        </w:rPr>
      </w:pPr>
      <w:r>
        <w:rPr>
          <w:rFonts w:hint="eastAsia"/>
          <w:b/>
          <w:bCs/>
          <w:szCs w:val="21"/>
          <w:highlight w:val="none"/>
        </w:rPr>
        <w:t>3</w:t>
      </w:r>
      <w:r>
        <w:rPr>
          <w:rFonts w:hint="eastAsia" w:ascii="宋体" w:hAnsi="宋体" w:eastAsia="宋体" w:cs="宋体"/>
          <w:b/>
          <w:bCs/>
          <w:szCs w:val="21"/>
          <w:highlight w:val="none"/>
        </w:rPr>
        <w:t>.</w:t>
      </w:r>
      <w:r>
        <w:rPr>
          <w:rFonts w:hint="eastAsia"/>
          <w:b/>
          <w:bCs/>
          <w:szCs w:val="21"/>
          <w:highlight w:val="none"/>
        </w:rPr>
        <w:t>0</w:t>
      </w:r>
      <w:r>
        <w:rPr>
          <w:rFonts w:hint="eastAsia" w:ascii="宋体" w:hAnsi="宋体" w:eastAsia="宋体" w:cs="宋体"/>
          <w:b/>
          <w:bCs/>
          <w:szCs w:val="21"/>
          <w:highlight w:val="none"/>
        </w:rPr>
        <w:t>.</w:t>
      </w:r>
      <w:r>
        <w:rPr>
          <w:rFonts w:hint="eastAsia"/>
          <w:b/>
          <w:bCs/>
          <w:szCs w:val="21"/>
          <w:highlight w:val="none"/>
        </w:rPr>
        <w:t>1</w:t>
      </w:r>
      <w:r>
        <w:rPr>
          <w:rFonts w:hint="eastAsia"/>
          <w:b/>
          <w:bCs/>
          <w:szCs w:val="21"/>
          <w:highlight w:val="none"/>
          <w:lang w:val="en-US" w:eastAsia="zh-CN"/>
        </w:rPr>
        <w:t>4</w:t>
      </w:r>
      <w:r>
        <w:rPr>
          <w:rFonts w:hint="eastAsia" w:ascii="Times New Roman" w:hAnsi="Times New Roman" w:eastAsia="宋体" w:cs="Times New Roman"/>
          <w:szCs w:val="21"/>
          <w:highlight w:val="none"/>
        </w:rPr>
        <w:t xml:space="preserve"> </w:t>
      </w:r>
      <w:r>
        <w:rPr>
          <w:rFonts w:hint="eastAsia" w:ascii="Times New Roman" w:hAnsi="Times New Roman" w:eastAsia="宋体" w:cs="Times New Roman"/>
          <w:szCs w:val="21"/>
          <w:highlight w:val="none"/>
          <w:lang w:val="en-US" w:eastAsia="zh-CN"/>
        </w:rPr>
        <w:t xml:space="preserve"> </w:t>
      </w:r>
      <w:r>
        <w:rPr>
          <w:rFonts w:hint="eastAsia"/>
          <w:bCs/>
          <w:szCs w:val="21"/>
          <w:highlight w:val="none"/>
        </w:rPr>
        <w:t>借助BIM技术生成的装配式建筑模型数据深度，应能满足装配式建筑的设计、拆分、生产、装配、维护等全过程的信息提取需求。建筑信息模型转接交付的格式应为通用格式或能被简单快捷读取的格式，方便不同系统在此基础上进协同配合，减少不必要的重复工作。</w:t>
      </w:r>
    </w:p>
    <w:p>
      <w:pPr>
        <w:spacing w:line="240" w:lineRule="auto"/>
        <w:rPr>
          <w:highlight w:val="none"/>
        </w:rPr>
      </w:pPr>
      <w:r>
        <w:rPr>
          <w:highlight w:val="none"/>
        </w:rPr>
        <w:br w:type="page"/>
      </w:r>
    </w:p>
    <w:p>
      <w:pPr>
        <w:keepNext/>
        <w:keepLines/>
        <w:spacing w:before="360" w:after="360" w:line="240" w:lineRule="auto"/>
        <w:jc w:val="center"/>
        <w:outlineLvl w:val="9"/>
        <w:rPr>
          <w:rStyle w:val="23"/>
          <w:rFonts w:hint="eastAsia" w:ascii="宋体" w:hAnsi="宋体" w:eastAsia="宋体"/>
          <w:b w:val="0"/>
          <w:bCs w:val="0"/>
          <w:sz w:val="28"/>
          <w:szCs w:val="28"/>
          <w:highlight w:val="none"/>
        </w:rPr>
      </w:pPr>
      <w:bookmarkStart w:id="512" w:name="_Toc154586935"/>
      <w:bookmarkStart w:id="513" w:name="_Toc4773"/>
      <w:bookmarkStart w:id="514" w:name="_Toc31392"/>
      <w:bookmarkStart w:id="515" w:name="_Toc30357"/>
      <w:r>
        <w:rPr>
          <w:rStyle w:val="23"/>
          <w:rFonts w:hint="eastAsia" w:ascii="Times New Roman" w:hAnsi="Times New Roman" w:eastAsia="宋体" w:cs="Times New Roman"/>
          <w:b/>
          <w:bCs/>
          <w:sz w:val="28"/>
          <w:szCs w:val="28"/>
          <w:highlight w:val="none"/>
        </w:rPr>
        <w:t>4</w:t>
      </w:r>
      <w:r>
        <w:rPr>
          <w:rStyle w:val="23"/>
          <w:rFonts w:hint="eastAsia" w:ascii="宋体" w:hAnsi="宋体" w:eastAsia="宋体"/>
          <w:b w:val="0"/>
          <w:bCs w:val="0"/>
          <w:sz w:val="28"/>
          <w:szCs w:val="28"/>
          <w:highlight w:val="none"/>
        </w:rPr>
        <w:t xml:space="preserve"> </w:t>
      </w:r>
      <w:r>
        <w:rPr>
          <w:rStyle w:val="23"/>
          <w:rFonts w:hint="eastAsia" w:ascii="宋体" w:hAnsi="宋体"/>
          <w:b w:val="0"/>
          <w:bCs w:val="0"/>
          <w:sz w:val="28"/>
          <w:szCs w:val="28"/>
          <w:highlight w:val="none"/>
          <w:lang w:val="en-US" w:eastAsia="zh-CN"/>
        </w:rPr>
        <w:t xml:space="preserve"> </w:t>
      </w:r>
      <w:r>
        <w:rPr>
          <w:rStyle w:val="23"/>
          <w:rFonts w:hint="eastAsia" w:ascii="宋体" w:hAnsi="宋体" w:eastAsia="宋体"/>
          <w:b w:val="0"/>
          <w:bCs w:val="0"/>
          <w:sz w:val="28"/>
          <w:szCs w:val="28"/>
          <w:highlight w:val="none"/>
        </w:rPr>
        <w:t>材</w:t>
      </w:r>
      <w:r>
        <w:rPr>
          <w:rStyle w:val="23"/>
          <w:rFonts w:hint="eastAsia" w:ascii="宋体" w:hAnsi="宋体"/>
          <w:b w:val="0"/>
          <w:bCs w:val="0"/>
          <w:sz w:val="28"/>
          <w:szCs w:val="28"/>
          <w:highlight w:val="none"/>
          <w:lang w:val="en-US" w:eastAsia="zh-CN"/>
        </w:rPr>
        <w:t xml:space="preserve">    </w:t>
      </w:r>
      <w:r>
        <w:rPr>
          <w:rStyle w:val="23"/>
          <w:rFonts w:hint="eastAsia" w:ascii="宋体" w:hAnsi="宋体" w:eastAsia="宋体"/>
          <w:b w:val="0"/>
          <w:bCs w:val="0"/>
          <w:sz w:val="28"/>
          <w:szCs w:val="28"/>
          <w:highlight w:val="none"/>
        </w:rPr>
        <w:t>料</w:t>
      </w:r>
      <w:bookmarkEnd w:id="512"/>
      <w:bookmarkEnd w:id="513"/>
      <w:bookmarkEnd w:id="514"/>
      <w:bookmarkEnd w:id="515"/>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rFonts w:hint="eastAsia" w:ascii="黑体" w:hAnsi="黑体" w:eastAsia="黑体" w:cs="黑体"/>
          <w:b w:val="0"/>
          <w:bCs/>
          <w:szCs w:val="21"/>
          <w:highlight w:val="none"/>
          <w:lang w:val="en-US" w:eastAsia="zh-CN" w:bidi="ar"/>
        </w:rPr>
      </w:pPr>
      <w:bookmarkStart w:id="516" w:name="_Toc117169905"/>
      <w:bookmarkStart w:id="517" w:name="_Toc116583454"/>
      <w:bookmarkStart w:id="518" w:name="_Toc154586214"/>
      <w:bookmarkStart w:id="519" w:name="_Toc153206001"/>
      <w:bookmarkStart w:id="520" w:name="_Toc154584890"/>
      <w:bookmarkStart w:id="521" w:name="_Toc2253"/>
      <w:bookmarkStart w:id="522" w:name="_Toc6638"/>
      <w:bookmarkStart w:id="523" w:name="_Toc154586936"/>
      <w:bookmarkStart w:id="524" w:name="_Toc116581520"/>
      <w:bookmarkStart w:id="525" w:name="_Toc14673"/>
      <w:bookmarkStart w:id="526" w:name="_Toc143006973"/>
      <w:r>
        <w:rPr>
          <w:rFonts w:hint="eastAsia"/>
          <w:b/>
          <w:szCs w:val="21"/>
          <w:highlight w:val="none"/>
          <w:lang w:bidi="ar"/>
        </w:rPr>
        <w:t>4</w:t>
      </w:r>
      <w:r>
        <w:rPr>
          <w:rFonts w:hint="eastAsia" w:ascii="宋体" w:hAnsi="宋体" w:eastAsia="宋体" w:cs="宋体"/>
          <w:b/>
          <w:szCs w:val="21"/>
          <w:highlight w:val="none"/>
          <w:lang w:bidi="ar"/>
        </w:rPr>
        <w:t>.</w:t>
      </w:r>
      <w:r>
        <w:rPr>
          <w:rFonts w:hint="eastAsia"/>
          <w:b/>
          <w:szCs w:val="21"/>
          <w:highlight w:val="none"/>
          <w:lang w:bidi="ar"/>
        </w:rPr>
        <w:t>1</w:t>
      </w:r>
      <w:r>
        <w:rPr>
          <w:rFonts w:hint="eastAsia" w:ascii="黑体" w:hAnsi="黑体" w:eastAsia="黑体" w:cs="黑体"/>
          <w:b w:val="0"/>
          <w:bCs/>
          <w:szCs w:val="21"/>
          <w:highlight w:val="none"/>
          <w:lang w:val="en-US" w:eastAsia="zh-CN" w:bidi="ar"/>
        </w:rPr>
        <w:t xml:space="preserve">  一 般 规 定</w:t>
      </w:r>
      <w:bookmarkEnd w:id="516"/>
      <w:bookmarkEnd w:id="517"/>
      <w:bookmarkEnd w:id="518"/>
      <w:bookmarkEnd w:id="519"/>
      <w:bookmarkEnd w:id="520"/>
      <w:bookmarkEnd w:id="521"/>
      <w:bookmarkEnd w:id="522"/>
      <w:bookmarkEnd w:id="523"/>
      <w:bookmarkEnd w:id="524"/>
      <w:bookmarkEnd w:id="525"/>
      <w:bookmarkEnd w:id="526"/>
    </w:p>
    <w:p>
      <w:pPr>
        <w:spacing w:line="240" w:lineRule="auto"/>
        <w:rPr>
          <w:color w:val="000000"/>
          <w:highlight w:val="none"/>
        </w:rPr>
      </w:pPr>
      <w:r>
        <w:rPr>
          <w:b/>
          <w:bCs/>
          <w:highlight w:val="none"/>
          <w:lang w:bidi="ar"/>
        </w:rPr>
        <w:t>4</w:t>
      </w:r>
      <w:r>
        <w:rPr>
          <w:rFonts w:hint="eastAsia" w:ascii="宋体" w:hAnsi="宋体" w:eastAsia="宋体" w:cs="宋体"/>
          <w:b/>
          <w:bCs/>
          <w:highlight w:val="none"/>
          <w:lang w:bidi="ar"/>
        </w:rPr>
        <w:t>.</w:t>
      </w:r>
      <w:r>
        <w:rPr>
          <w:b/>
          <w:bCs/>
          <w:highlight w:val="none"/>
          <w:lang w:bidi="ar"/>
        </w:rPr>
        <w:t>1</w:t>
      </w:r>
      <w:r>
        <w:rPr>
          <w:rFonts w:hint="eastAsia" w:ascii="宋体" w:hAnsi="宋体" w:eastAsia="宋体" w:cs="宋体"/>
          <w:b/>
          <w:bCs/>
          <w:highlight w:val="none"/>
          <w:lang w:bidi="ar"/>
        </w:rPr>
        <w:t>.</w:t>
      </w:r>
      <w:r>
        <w:rPr>
          <w:b/>
          <w:bCs/>
          <w:highlight w:val="none"/>
          <w:lang w:bidi="ar"/>
        </w:rPr>
        <w:t xml:space="preserve">1 </w:t>
      </w:r>
      <w:r>
        <w:rPr>
          <w:rFonts w:hint="eastAsia"/>
          <w:b/>
          <w:bCs/>
          <w:highlight w:val="none"/>
          <w:lang w:val="en-US" w:eastAsia="zh-CN" w:bidi="ar"/>
        </w:rPr>
        <w:t xml:space="preserve"> </w:t>
      </w:r>
      <w:r>
        <w:rPr>
          <w:rFonts w:hint="eastAsia" w:cs="宋体"/>
          <w:highlight w:val="none"/>
          <w:lang w:bidi="ar"/>
        </w:rPr>
        <w:t>原材料及配件进厂，无论是甲供材或乙供材，均</w:t>
      </w:r>
      <w:r>
        <w:rPr>
          <w:rFonts w:hint="eastAsia" w:cs="宋体"/>
          <w:color w:val="000000"/>
          <w:highlight w:val="none"/>
          <w:lang w:bidi="ar"/>
        </w:rPr>
        <w:t>应</w:t>
      </w:r>
      <w:r>
        <w:rPr>
          <w:rFonts w:hint="eastAsia" w:cs="宋体"/>
          <w:highlight w:val="none"/>
          <w:lang w:bidi="ar"/>
        </w:rPr>
        <w:t>具有合格证和出厂检验报告等质量证明文件，构件生产企业应验收存档，并按</w:t>
      </w:r>
      <w:r>
        <w:rPr>
          <w:rFonts w:hint="eastAsia" w:cs="宋体"/>
          <w:color w:val="000000"/>
          <w:highlight w:val="none"/>
          <w:lang w:bidi="ar"/>
        </w:rPr>
        <w:t>规定进行进厂复检，检验结果应符合国家现行有关标准的规定。</w:t>
      </w:r>
    </w:p>
    <w:p>
      <w:pPr>
        <w:spacing w:line="240" w:lineRule="auto"/>
        <w:rPr>
          <w:bCs/>
          <w:highlight w:val="none"/>
        </w:rPr>
      </w:pPr>
      <w:r>
        <w:rPr>
          <w:b/>
          <w:bCs/>
          <w:highlight w:val="none"/>
          <w:lang w:bidi="ar"/>
        </w:rPr>
        <w:t>4</w:t>
      </w:r>
      <w:r>
        <w:rPr>
          <w:rFonts w:hint="eastAsia" w:ascii="宋体" w:hAnsi="宋体" w:eastAsia="宋体" w:cs="宋体"/>
          <w:b/>
          <w:bCs/>
          <w:highlight w:val="none"/>
          <w:lang w:bidi="ar"/>
        </w:rPr>
        <w:t>.</w:t>
      </w:r>
      <w:r>
        <w:rPr>
          <w:b/>
          <w:bCs/>
          <w:highlight w:val="none"/>
          <w:lang w:bidi="ar"/>
        </w:rPr>
        <w:t>1</w:t>
      </w:r>
      <w:r>
        <w:rPr>
          <w:rFonts w:hint="eastAsia" w:ascii="宋体" w:hAnsi="宋体" w:eastAsia="宋体" w:cs="宋体"/>
          <w:b/>
          <w:bCs/>
          <w:highlight w:val="none"/>
          <w:lang w:bidi="ar"/>
        </w:rPr>
        <w:t>.</w:t>
      </w:r>
      <w:r>
        <w:rPr>
          <w:b/>
          <w:bCs/>
          <w:highlight w:val="none"/>
          <w:lang w:bidi="ar"/>
        </w:rPr>
        <w:t>2</w:t>
      </w:r>
      <w:r>
        <w:rPr>
          <w:bCs/>
          <w:highlight w:val="none"/>
          <w:lang w:bidi="ar"/>
        </w:rPr>
        <w:t xml:space="preserve"> </w:t>
      </w:r>
      <w:r>
        <w:rPr>
          <w:rFonts w:hint="eastAsia"/>
          <w:bCs/>
          <w:highlight w:val="none"/>
          <w:lang w:val="en-US" w:eastAsia="zh-CN" w:bidi="ar"/>
        </w:rPr>
        <w:t xml:space="preserve"> </w:t>
      </w:r>
      <w:r>
        <w:rPr>
          <w:rFonts w:hint="eastAsia" w:cs="宋体"/>
          <w:bCs/>
          <w:highlight w:val="none"/>
          <w:lang w:bidi="ar"/>
        </w:rPr>
        <w:t>根据《建筑工程施工质量验收统一标</w:t>
      </w:r>
      <w:r>
        <w:rPr>
          <w:bCs/>
          <w:highlight w:val="none"/>
          <w:lang w:bidi="ar"/>
        </w:rPr>
        <w:t>准》GB 50204-2015第9</w:t>
      </w:r>
      <w:r>
        <w:rPr>
          <w:rFonts w:hint="eastAsia" w:ascii="宋体" w:hAnsi="宋体" w:eastAsia="宋体" w:cs="宋体"/>
          <w:bCs/>
          <w:highlight w:val="none"/>
          <w:lang w:bidi="ar"/>
        </w:rPr>
        <w:t>.</w:t>
      </w:r>
      <w:r>
        <w:rPr>
          <w:bCs/>
          <w:highlight w:val="none"/>
          <w:lang w:bidi="ar"/>
        </w:rPr>
        <w:t>2</w:t>
      </w:r>
      <w:r>
        <w:rPr>
          <w:rFonts w:hint="eastAsia" w:ascii="宋体" w:hAnsi="宋体" w:eastAsia="宋体" w:cs="宋体"/>
          <w:bCs/>
          <w:highlight w:val="none"/>
          <w:lang w:bidi="ar"/>
        </w:rPr>
        <w:t>.</w:t>
      </w:r>
      <w:r>
        <w:rPr>
          <w:bCs/>
          <w:highlight w:val="none"/>
          <w:lang w:bidi="ar"/>
        </w:rPr>
        <w:t>1条、9</w:t>
      </w:r>
      <w:r>
        <w:rPr>
          <w:rFonts w:hint="eastAsia" w:ascii="宋体" w:hAnsi="宋体" w:eastAsia="宋体" w:cs="宋体"/>
          <w:bCs/>
          <w:highlight w:val="none"/>
          <w:lang w:bidi="ar"/>
        </w:rPr>
        <w:t>.</w:t>
      </w:r>
      <w:r>
        <w:rPr>
          <w:bCs/>
          <w:highlight w:val="none"/>
          <w:lang w:bidi="ar"/>
        </w:rPr>
        <w:t>2</w:t>
      </w:r>
      <w:r>
        <w:rPr>
          <w:rFonts w:hint="eastAsia" w:ascii="宋体" w:hAnsi="宋体" w:eastAsia="宋体" w:cs="宋体"/>
          <w:bCs/>
          <w:highlight w:val="none"/>
          <w:lang w:bidi="ar"/>
        </w:rPr>
        <w:t>.</w:t>
      </w:r>
      <w:r>
        <w:rPr>
          <w:bCs/>
          <w:highlight w:val="none"/>
          <w:lang w:bidi="ar"/>
        </w:rPr>
        <w:t>2条对预</w:t>
      </w:r>
      <w:r>
        <w:rPr>
          <w:rFonts w:hint="eastAsia" w:cs="宋体"/>
          <w:bCs/>
          <w:highlight w:val="none"/>
          <w:lang w:bidi="ar"/>
        </w:rPr>
        <w:t>制</w:t>
      </w:r>
      <w:r>
        <w:rPr>
          <w:rFonts w:hint="eastAsia"/>
          <w:szCs w:val="21"/>
          <w:highlight w:val="none"/>
        </w:rPr>
        <w:t>混凝土</w:t>
      </w:r>
      <w:r>
        <w:rPr>
          <w:rFonts w:hint="eastAsia" w:cs="宋体"/>
          <w:bCs/>
          <w:highlight w:val="none"/>
          <w:lang w:bidi="ar"/>
        </w:rPr>
        <w:t>构件质量证明文件的要求，材料检验报告应在构件生产企业存档保留以便查阅，在预制</w:t>
      </w:r>
      <w:r>
        <w:rPr>
          <w:rFonts w:hint="eastAsia"/>
          <w:szCs w:val="21"/>
          <w:highlight w:val="none"/>
        </w:rPr>
        <w:t>混凝土</w:t>
      </w:r>
      <w:r>
        <w:rPr>
          <w:rFonts w:hint="eastAsia" w:cs="宋体"/>
          <w:bCs/>
          <w:highlight w:val="none"/>
          <w:lang w:bidi="ar"/>
        </w:rPr>
        <w:t>构件进场环节不再提供。同时因构件生产企业为制造型企业，各项目构件生产共用同批材料，故材料进厂按批检测，其检测报告为所用项目共用，由于报告原件份数有限，采取其复印件加盖构件生产企业印章后待同原件有效。</w:t>
      </w:r>
    </w:p>
    <w:p>
      <w:pPr>
        <w:spacing w:line="240" w:lineRule="auto"/>
        <w:rPr>
          <w:rFonts w:ascii="Segoe UI" w:hAnsi="Segoe UI" w:cs="Segoe UI"/>
          <w:color w:val="101214"/>
          <w:szCs w:val="21"/>
          <w:highlight w:val="none"/>
          <w:shd w:val="clear" w:color="auto" w:fill="FCFDFE"/>
          <w:lang w:bidi="ar"/>
        </w:rPr>
      </w:pPr>
      <w:r>
        <w:rPr>
          <w:b/>
          <w:highlight w:val="none"/>
          <w:lang w:bidi="ar"/>
        </w:rPr>
        <w:t>4</w:t>
      </w:r>
      <w:r>
        <w:rPr>
          <w:rFonts w:hint="eastAsia" w:ascii="宋体" w:hAnsi="宋体" w:eastAsia="宋体" w:cs="宋体"/>
          <w:b/>
          <w:highlight w:val="none"/>
          <w:lang w:bidi="ar"/>
        </w:rPr>
        <w:t>.</w:t>
      </w:r>
      <w:r>
        <w:rPr>
          <w:b/>
          <w:highlight w:val="none"/>
          <w:lang w:bidi="ar"/>
        </w:rPr>
        <w:t>1</w:t>
      </w:r>
      <w:r>
        <w:rPr>
          <w:rFonts w:hint="eastAsia" w:ascii="宋体" w:hAnsi="宋体" w:eastAsia="宋体" w:cs="宋体"/>
          <w:b/>
          <w:highlight w:val="none"/>
          <w:lang w:bidi="ar"/>
        </w:rPr>
        <w:t>.</w:t>
      </w:r>
      <w:r>
        <w:rPr>
          <w:b/>
          <w:highlight w:val="none"/>
          <w:lang w:bidi="ar"/>
        </w:rPr>
        <w:t>5</w:t>
      </w:r>
      <w:r>
        <w:rPr>
          <w:highlight w:val="none"/>
          <w:lang w:bidi="ar"/>
        </w:rPr>
        <w:t xml:space="preserve"> </w:t>
      </w:r>
      <w:r>
        <w:rPr>
          <w:rFonts w:hint="eastAsia"/>
          <w:highlight w:val="none"/>
          <w:lang w:val="en-US" w:eastAsia="zh-CN" w:bidi="ar"/>
        </w:rPr>
        <w:t xml:space="preserve"> </w:t>
      </w:r>
      <w:r>
        <w:rPr>
          <w:rFonts w:hint="eastAsia" w:cs="宋体"/>
          <w:highlight w:val="none"/>
          <w:lang w:bidi="ar"/>
        </w:rPr>
        <w:t>严禁使用淘汰的材料</w:t>
      </w:r>
      <w:r>
        <w:rPr>
          <w:rFonts w:hint="eastAsia" w:cs="宋体"/>
          <w:highlight w:val="none"/>
          <w:lang w:eastAsia="zh-CN" w:bidi="ar"/>
        </w:rPr>
        <w:t>。</w:t>
      </w:r>
      <w:r>
        <w:rPr>
          <w:rFonts w:hint="eastAsia" w:ascii="Segoe UI" w:hAnsi="Segoe UI" w:cs="Segoe UI"/>
          <w:color w:val="101214"/>
          <w:szCs w:val="21"/>
          <w:highlight w:val="none"/>
          <w:shd w:val="clear" w:color="auto" w:fill="FCFDFE"/>
          <w:lang w:bidi="ar"/>
        </w:rPr>
        <w:t>高碱混凝土膨胀剂</w:t>
      </w:r>
      <w:r>
        <w:rPr>
          <w:rFonts w:ascii="Segoe UI" w:hAnsi="Segoe UI" w:eastAsia="Segoe UI" w:cs="Segoe UI"/>
          <w:color w:val="101214"/>
          <w:szCs w:val="21"/>
          <w:highlight w:val="none"/>
          <w:shd w:val="clear" w:color="auto" w:fill="FCFDFE"/>
          <w:lang w:bidi="ar"/>
        </w:rPr>
        <w:t>(</w:t>
      </w:r>
      <w:r>
        <w:rPr>
          <w:rFonts w:hint="eastAsia" w:ascii="Segoe UI" w:hAnsi="Segoe UI" w:cs="Segoe UI"/>
          <w:color w:val="101214"/>
          <w:szCs w:val="21"/>
          <w:highlight w:val="none"/>
          <w:shd w:val="clear" w:color="auto" w:fill="FCFDFE"/>
          <w:lang w:bidi="ar"/>
        </w:rPr>
        <w:t>氧化钠当量</w:t>
      </w:r>
      <w:r>
        <w:rPr>
          <w:rFonts w:eastAsia="Segoe UI" w:cs="Segoe UI"/>
          <w:color w:val="101214"/>
          <w:szCs w:val="21"/>
          <w:highlight w:val="none"/>
          <w:shd w:val="clear" w:color="auto" w:fill="FCFDFE"/>
          <w:lang w:bidi="ar"/>
        </w:rPr>
        <w:t>7</w:t>
      </w:r>
      <w:r>
        <w:rPr>
          <w:rFonts w:ascii="Segoe UI" w:hAnsi="Segoe UI" w:eastAsia="Segoe UI" w:cs="Segoe UI"/>
          <w:color w:val="101214"/>
          <w:szCs w:val="21"/>
          <w:highlight w:val="none"/>
          <w:shd w:val="clear" w:color="auto" w:fill="FCFDFE"/>
          <w:lang w:bidi="ar"/>
        </w:rPr>
        <w:t>.</w:t>
      </w:r>
      <w:r>
        <w:rPr>
          <w:rFonts w:eastAsia="Segoe UI" w:cs="Segoe UI"/>
          <w:color w:val="101214"/>
          <w:szCs w:val="21"/>
          <w:highlight w:val="none"/>
          <w:shd w:val="clear" w:color="auto" w:fill="FCFDFE"/>
          <w:lang w:bidi="ar"/>
        </w:rPr>
        <w:t>5</w:t>
      </w:r>
      <w:r>
        <w:rPr>
          <w:rFonts w:hint="eastAsia" w:eastAsia="Segoe UI" w:cs="Segoe UI"/>
          <w:color w:val="101214"/>
          <w:szCs w:val="21"/>
          <w:highlight w:val="none"/>
          <w:shd w:val="clear" w:color="auto" w:fill="FCFDFE"/>
          <w:lang w:val="en-US" w:eastAsia="zh-CN" w:bidi="ar"/>
        </w:rPr>
        <w:t>‰</w:t>
      </w:r>
      <w:r>
        <w:rPr>
          <w:rFonts w:hint="eastAsia" w:ascii="Segoe UI" w:hAnsi="Segoe UI" w:cs="Segoe UI"/>
          <w:color w:val="101214"/>
          <w:szCs w:val="21"/>
          <w:highlight w:val="none"/>
          <w:shd w:val="clear" w:color="auto" w:fill="FCFDFE"/>
          <w:lang w:bidi="ar"/>
        </w:rPr>
        <w:t>以上和掺入量占水泥用量</w:t>
      </w:r>
      <w:r>
        <w:rPr>
          <w:rFonts w:eastAsia="Segoe UI" w:cs="Segoe UI"/>
          <w:color w:val="101214"/>
          <w:szCs w:val="21"/>
          <w:highlight w:val="none"/>
          <w:shd w:val="clear" w:color="auto" w:fill="FCFDFE"/>
          <w:lang w:bidi="ar"/>
        </w:rPr>
        <w:t>8</w:t>
      </w:r>
      <w:r>
        <w:rPr>
          <w:rFonts w:ascii="Segoe UI" w:hAnsi="Segoe UI" w:eastAsia="Segoe UI" w:cs="Segoe UI"/>
          <w:color w:val="101214"/>
          <w:szCs w:val="21"/>
          <w:highlight w:val="none"/>
          <w:shd w:val="clear" w:color="auto" w:fill="FCFDFE"/>
          <w:lang w:bidi="ar"/>
        </w:rPr>
        <w:t>%</w:t>
      </w:r>
      <w:r>
        <w:rPr>
          <w:rFonts w:hint="eastAsia" w:ascii="Segoe UI" w:hAnsi="Segoe UI" w:cs="Segoe UI"/>
          <w:color w:val="101214"/>
          <w:szCs w:val="21"/>
          <w:highlight w:val="none"/>
          <w:shd w:val="clear" w:color="auto" w:fill="FCFDFE"/>
          <w:lang w:bidi="ar"/>
        </w:rPr>
        <w:t>以上</w:t>
      </w:r>
      <w:r>
        <w:rPr>
          <w:rFonts w:ascii="Segoe UI" w:hAnsi="Segoe UI" w:eastAsia="Segoe UI" w:cs="Segoe UI"/>
          <w:color w:val="101214"/>
          <w:szCs w:val="21"/>
          <w:highlight w:val="none"/>
          <w:shd w:val="clear" w:color="auto" w:fill="FCFDFE"/>
          <w:lang w:bidi="ar"/>
        </w:rPr>
        <w:t>)</w:t>
      </w:r>
      <w:r>
        <w:rPr>
          <w:rFonts w:hint="eastAsia" w:ascii="Segoe UI" w:hAnsi="Segoe UI" w:cs="Segoe UI"/>
          <w:color w:val="101214"/>
          <w:szCs w:val="21"/>
          <w:highlight w:val="none"/>
          <w:shd w:val="clear" w:color="auto" w:fill="FCFDFE"/>
          <w:lang w:bidi="ar"/>
        </w:rPr>
        <w:t>、聚乙烯醇缩甲醛胶粘剂</w:t>
      </w:r>
      <w:r>
        <w:rPr>
          <w:rFonts w:ascii="Segoe UI" w:hAnsi="Segoe UI" w:eastAsia="Segoe UI" w:cs="Segoe UI"/>
          <w:color w:val="101214"/>
          <w:szCs w:val="21"/>
          <w:highlight w:val="none"/>
          <w:shd w:val="clear" w:color="auto" w:fill="FCFDFE"/>
          <w:lang w:bidi="ar"/>
        </w:rPr>
        <w:t>(</w:t>
      </w:r>
      <w:r>
        <w:rPr>
          <w:rFonts w:eastAsia="Segoe UI" w:cs="Segoe UI"/>
          <w:color w:val="101214"/>
          <w:szCs w:val="21"/>
          <w:highlight w:val="none"/>
          <w:shd w:val="clear" w:color="auto" w:fill="FCFDFE"/>
          <w:lang w:bidi="ar"/>
        </w:rPr>
        <w:t>107</w:t>
      </w:r>
      <w:r>
        <w:rPr>
          <w:rFonts w:hint="eastAsia" w:ascii="Segoe UI" w:hAnsi="Segoe UI" w:cs="Segoe UI"/>
          <w:color w:val="101214"/>
          <w:szCs w:val="21"/>
          <w:highlight w:val="none"/>
          <w:shd w:val="clear" w:color="auto" w:fill="FCFDFE"/>
          <w:lang w:bidi="ar"/>
        </w:rPr>
        <w:t>胶</w:t>
      </w:r>
      <w:r>
        <w:rPr>
          <w:rFonts w:ascii="Segoe UI" w:hAnsi="Segoe UI" w:eastAsia="Segoe UI" w:cs="Segoe UI"/>
          <w:color w:val="101214"/>
          <w:szCs w:val="21"/>
          <w:highlight w:val="none"/>
          <w:shd w:val="clear" w:color="auto" w:fill="FCFDFE"/>
          <w:lang w:bidi="ar"/>
        </w:rPr>
        <w:t>)</w:t>
      </w:r>
      <w:r>
        <w:rPr>
          <w:rFonts w:hint="eastAsia" w:ascii="Segoe UI" w:hAnsi="Segoe UI" w:cs="Segoe UI"/>
          <w:color w:val="101214"/>
          <w:szCs w:val="21"/>
          <w:highlight w:val="none"/>
          <w:shd w:val="clear" w:color="auto" w:fill="FCFDFE"/>
          <w:lang w:bidi="ar"/>
        </w:rPr>
        <w:t>、不耐水石膏类刮墙腻子等属国家淘汰材料。</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rFonts w:hint="eastAsia" w:ascii="黑体" w:hAnsi="黑体" w:eastAsia="黑体" w:cs="黑体"/>
          <w:b w:val="0"/>
          <w:bCs/>
          <w:szCs w:val="21"/>
          <w:highlight w:val="none"/>
          <w:lang w:val="en-US" w:eastAsia="zh-CN" w:bidi="ar"/>
        </w:rPr>
      </w:pPr>
      <w:bookmarkStart w:id="527" w:name="_Toc143006974"/>
      <w:bookmarkStart w:id="528" w:name="_Toc20072"/>
      <w:bookmarkStart w:id="529" w:name="_Toc154586215"/>
      <w:bookmarkStart w:id="530" w:name="_Toc117169906"/>
      <w:bookmarkStart w:id="531" w:name="_Toc27062"/>
      <w:bookmarkStart w:id="532" w:name="_Toc154586937"/>
      <w:bookmarkStart w:id="533" w:name="_Toc153206002"/>
      <w:bookmarkStart w:id="534" w:name="_Toc116583455"/>
      <w:bookmarkStart w:id="535" w:name="_Toc32676"/>
      <w:bookmarkStart w:id="536" w:name="_Toc154584891"/>
      <w:bookmarkStart w:id="537" w:name="_Toc116581521"/>
      <w:r>
        <w:rPr>
          <w:b/>
          <w:szCs w:val="21"/>
          <w:highlight w:val="none"/>
          <w:lang w:bidi="ar"/>
        </w:rPr>
        <w:t>4</w:t>
      </w:r>
      <w:r>
        <w:rPr>
          <w:rFonts w:hint="eastAsia" w:ascii="宋体" w:hAnsi="宋体" w:eastAsia="宋体" w:cs="宋体"/>
          <w:b/>
          <w:szCs w:val="21"/>
          <w:highlight w:val="none"/>
          <w:lang w:bidi="ar"/>
        </w:rPr>
        <w:t>.</w:t>
      </w:r>
      <w:r>
        <w:rPr>
          <w:b/>
          <w:szCs w:val="21"/>
          <w:highlight w:val="none"/>
          <w:lang w:bidi="ar"/>
        </w:rPr>
        <w:t>2</w:t>
      </w:r>
      <w:r>
        <w:rPr>
          <w:rFonts w:hint="eastAsia" w:ascii="黑体" w:hAnsi="黑体" w:eastAsia="黑体" w:cs="黑体"/>
          <w:b w:val="0"/>
          <w:bCs/>
          <w:szCs w:val="21"/>
          <w:highlight w:val="none"/>
          <w:lang w:val="en-US" w:eastAsia="zh-CN" w:bidi="ar"/>
        </w:rPr>
        <w:t xml:space="preserve">  钢    筋</w:t>
      </w:r>
      <w:bookmarkEnd w:id="527"/>
      <w:bookmarkEnd w:id="528"/>
      <w:bookmarkEnd w:id="529"/>
      <w:bookmarkEnd w:id="530"/>
      <w:bookmarkEnd w:id="531"/>
      <w:bookmarkEnd w:id="532"/>
      <w:bookmarkEnd w:id="533"/>
      <w:bookmarkEnd w:id="534"/>
      <w:bookmarkEnd w:id="535"/>
      <w:bookmarkEnd w:id="536"/>
      <w:bookmarkEnd w:id="537"/>
    </w:p>
    <w:p>
      <w:pPr>
        <w:spacing w:line="240" w:lineRule="auto"/>
        <w:rPr>
          <w:bCs/>
          <w:kern w:val="0"/>
          <w:szCs w:val="21"/>
          <w:highlight w:val="none"/>
        </w:rPr>
      </w:pPr>
      <w:r>
        <w:rPr>
          <w:b/>
          <w:bCs/>
          <w:kern w:val="0"/>
          <w:szCs w:val="21"/>
          <w:highlight w:val="none"/>
          <w:lang w:bidi="ar"/>
        </w:rPr>
        <w:t>4</w:t>
      </w:r>
      <w:r>
        <w:rPr>
          <w:rFonts w:hint="eastAsia" w:ascii="宋体" w:hAnsi="宋体" w:eastAsia="宋体" w:cs="宋体"/>
          <w:b/>
          <w:bCs/>
          <w:kern w:val="0"/>
          <w:szCs w:val="21"/>
          <w:highlight w:val="none"/>
          <w:lang w:bidi="ar"/>
        </w:rPr>
        <w:t>.</w:t>
      </w:r>
      <w:r>
        <w:rPr>
          <w:b/>
          <w:bCs/>
          <w:kern w:val="0"/>
          <w:szCs w:val="21"/>
          <w:highlight w:val="none"/>
          <w:lang w:bidi="ar"/>
        </w:rPr>
        <w:t>2</w:t>
      </w:r>
      <w:r>
        <w:rPr>
          <w:rFonts w:hint="eastAsia" w:ascii="宋体" w:hAnsi="宋体" w:eastAsia="宋体" w:cs="宋体"/>
          <w:b/>
          <w:bCs/>
          <w:kern w:val="0"/>
          <w:szCs w:val="21"/>
          <w:highlight w:val="none"/>
          <w:lang w:bidi="ar"/>
        </w:rPr>
        <w:t>.</w:t>
      </w:r>
      <w:r>
        <w:rPr>
          <w:b/>
          <w:bCs/>
          <w:kern w:val="0"/>
          <w:szCs w:val="21"/>
          <w:highlight w:val="none"/>
          <w:lang w:bidi="ar"/>
        </w:rPr>
        <w:t>1</w:t>
      </w:r>
      <w:r>
        <w:rPr>
          <w:bCs/>
          <w:kern w:val="0"/>
          <w:szCs w:val="21"/>
          <w:highlight w:val="none"/>
          <w:lang w:bidi="ar"/>
        </w:rPr>
        <w:t xml:space="preserve"> </w:t>
      </w:r>
      <w:r>
        <w:rPr>
          <w:rFonts w:hint="eastAsia"/>
          <w:bCs/>
          <w:kern w:val="0"/>
          <w:szCs w:val="21"/>
          <w:highlight w:val="none"/>
          <w:lang w:val="en-US" w:eastAsia="zh-CN" w:bidi="ar"/>
        </w:rPr>
        <w:t xml:space="preserve"> </w:t>
      </w:r>
      <w:r>
        <w:rPr>
          <w:rFonts w:hint="eastAsia" w:ascii="Segoe UI" w:hAnsi="Segoe UI" w:cs="Segoe UI"/>
          <w:color w:val="101214"/>
          <w:szCs w:val="21"/>
          <w:highlight w:val="none"/>
          <w:shd w:val="clear" w:color="auto" w:fill="FCFDFE"/>
          <w:lang w:bidi="ar"/>
        </w:rPr>
        <w:t>国家现行钢筋</w:t>
      </w:r>
      <w:r>
        <w:rPr>
          <w:rFonts w:hint="eastAsia"/>
          <w:bCs/>
          <w:szCs w:val="21"/>
          <w:highlight w:val="none"/>
        </w:rPr>
        <w:t>产品</w:t>
      </w:r>
      <w:r>
        <w:rPr>
          <w:rFonts w:hint="eastAsia" w:ascii="Segoe UI" w:hAnsi="Segoe UI" w:cs="Segoe UI"/>
          <w:color w:val="101214"/>
          <w:szCs w:val="21"/>
          <w:highlight w:val="none"/>
          <w:shd w:val="clear" w:color="auto" w:fill="FCFDFE"/>
          <w:lang w:bidi="ar"/>
        </w:rPr>
        <w:t>标准中</w:t>
      </w:r>
      <w:r>
        <w:rPr>
          <w:rFonts w:hint="eastAsia" w:ascii="Segoe UI" w:hAnsi="Segoe UI" w:cs="Segoe UI"/>
          <w:color w:val="101214"/>
          <w:szCs w:val="21"/>
          <w:highlight w:val="none"/>
          <w:shd w:val="clear" w:color="auto" w:fill="FCFDFE"/>
          <w:lang w:eastAsia="zh-CN" w:bidi="ar"/>
        </w:rPr>
        <w:t>，</w:t>
      </w:r>
      <w:r>
        <w:rPr>
          <w:rFonts w:hint="eastAsia" w:ascii="Segoe UI" w:hAnsi="Segoe UI" w:cs="Segoe UI"/>
          <w:color w:val="101214"/>
          <w:szCs w:val="21"/>
          <w:highlight w:val="none"/>
          <w:shd w:val="clear" w:color="auto" w:fill="FCFDFE"/>
          <w:lang w:bidi="ar"/>
        </w:rPr>
        <w:t>不再限制钢筋材料的化学成分和制作工艺</w:t>
      </w:r>
      <w:r>
        <w:rPr>
          <w:rFonts w:ascii="Segoe UI" w:hAnsi="Segoe UI" w:eastAsia="Segoe UI" w:cs="Segoe UI"/>
          <w:color w:val="101214"/>
          <w:szCs w:val="21"/>
          <w:highlight w:val="none"/>
          <w:shd w:val="clear" w:color="auto" w:fill="FCFDFE"/>
          <w:lang w:bidi="ar"/>
        </w:rPr>
        <w:t>,</w:t>
      </w:r>
      <w:r>
        <w:rPr>
          <w:rFonts w:hint="eastAsia" w:ascii="Segoe UI" w:hAnsi="Segoe UI" w:cs="Segoe UI"/>
          <w:color w:val="101214"/>
          <w:szCs w:val="21"/>
          <w:highlight w:val="none"/>
          <w:shd w:val="clear" w:color="auto" w:fill="FCFDFE"/>
          <w:lang w:bidi="ar"/>
        </w:rPr>
        <w:t>而按性能确定钢筋的牌号和强度级别。</w:t>
      </w:r>
    </w:p>
    <w:p>
      <w:pPr>
        <w:spacing w:line="240" w:lineRule="auto"/>
        <w:rPr>
          <w:bCs/>
          <w:kern w:val="0"/>
          <w:szCs w:val="21"/>
          <w:highlight w:val="none"/>
        </w:rPr>
      </w:pPr>
      <w:r>
        <w:rPr>
          <w:b/>
          <w:bCs/>
          <w:kern w:val="0"/>
          <w:szCs w:val="21"/>
          <w:highlight w:val="none"/>
          <w:lang w:bidi="ar"/>
        </w:rPr>
        <w:t>4</w:t>
      </w:r>
      <w:r>
        <w:rPr>
          <w:rFonts w:hint="eastAsia" w:ascii="宋体" w:hAnsi="宋体" w:eastAsia="宋体" w:cs="宋体"/>
          <w:b/>
          <w:bCs/>
          <w:kern w:val="0"/>
          <w:szCs w:val="21"/>
          <w:highlight w:val="none"/>
          <w:lang w:bidi="ar"/>
        </w:rPr>
        <w:t>.</w:t>
      </w:r>
      <w:r>
        <w:rPr>
          <w:b/>
          <w:bCs/>
          <w:kern w:val="0"/>
          <w:szCs w:val="21"/>
          <w:highlight w:val="none"/>
          <w:lang w:bidi="ar"/>
        </w:rPr>
        <w:t>2</w:t>
      </w:r>
      <w:r>
        <w:rPr>
          <w:rFonts w:hint="eastAsia" w:ascii="宋体" w:hAnsi="宋体" w:eastAsia="宋体" w:cs="宋体"/>
          <w:b/>
          <w:bCs/>
          <w:kern w:val="0"/>
          <w:szCs w:val="21"/>
          <w:highlight w:val="none"/>
          <w:lang w:bidi="ar"/>
        </w:rPr>
        <w:t>.</w:t>
      </w:r>
      <w:r>
        <w:rPr>
          <w:b/>
          <w:bCs/>
          <w:kern w:val="0"/>
          <w:szCs w:val="21"/>
          <w:highlight w:val="none"/>
          <w:lang w:bidi="ar"/>
        </w:rPr>
        <w:t>2</w:t>
      </w:r>
      <w:r>
        <w:rPr>
          <w:rFonts w:hint="eastAsia"/>
          <w:b/>
          <w:bCs/>
          <w:kern w:val="0"/>
          <w:szCs w:val="21"/>
          <w:highlight w:val="none"/>
          <w:lang w:val="en-US" w:eastAsia="zh-CN" w:bidi="ar"/>
        </w:rPr>
        <w:t xml:space="preserve">  </w:t>
      </w:r>
      <w:r>
        <w:rPr>
          <w:rFonts w:hint="eastAsia" w:ascii="Segoe UI" w:hAnsi="Segoe UI" w:cs="Segoe UI"/>
          <w:color w:val="101214"/>
          <w:szCs w:val="21"/>
          <w:highlight w:val="none"/>
          <w:shd w:val="clear" w:color="auto" w:fill="FCFDFE"/>
          <w:lang w:bidi="ar"/>
        </w:rPr>
        <w:t>重点对有抗震要求的钢筋的性能进行明确。</w:t>
      </w:r>
    </w:p>
    <w:p>
      <w:pPr>
        <w:spacing w:line="240" w:lineRule="auto"/>
        <w:rPr>
          <w:rFonts w:ascii="宋体" w:hAnsi="宋体" w:cs="宋体"/>
          <w:szCs w:val="21"/>
          <w:highlight w:val="none"/>
        </w:rPr>
      </w:pPr>
      <w:r>
        <w:rPr>
          <w:b/>
          <w:bCs/>
          <w:kern w:val="0"/>
          <w:szCs w:val="21"/>
          <w:highlight w:val="none"/>
          <w:lang w:bidi="ar"/>
        </w:rPr>
        <w:t>4</w:t>
      </w:r>
      <w:r>
        <w:rPr>
          <w:rFonts w:hint="eastAsia" w:ascii="宋体" w:hAnsi="宋体" w:eastAsia="宋体" w:cs="宋体"/>
          <w:b/>
          <w:bCs/>
          <w:kern w:val="0"/>
          <w:szCs w:val="21"/>
          <w:highlight w:val="none"/>
          <w:lang w:bidi="ar"/>
        </w:rPr>
        <w:t>.</w:t>
      </w:r>
      <w:r>
        <w:rPr>
          <w:b/>
          <w:bCs/>
          <w:kern w:val="0"/>
          <w:szCs w:val="21"/>
          <w:highlight w:val="none"/>
          <w:lang w:bidi="ar"/>
        </w:rPr>
        <w:t>2</w:t>
      </w:r>
      <w:r>
        <w:rPr>
          <w:rFonts w:hint="eastAsia" w:ascii="宋体" w:hAnsi="宋体" w:eastAsia="宋体" w:cs="宋体"/>
          <w:b/>
          <w:bCs/>
          <w:kern w:val="0"/>
          <w:szCs w:val="21"/>
          <w:highlight w:val="none"/>
          <w:lang w:bidi="ar"/>
        </w:rPr>
        <w:t>.</w:t>
      </w:r>
      <w:r>
        <w:rPr>
          <w:rFonts w:hint="eastAsia"/>
          <w:b/>
          <w:bCs/>
          <w:kern w:val="0"/>
          <w:szCs w:val="21"/>
          <w:highlight w:val="none"/>
          <w:lang w:bidi="ar"/>
        </w:rPr>
        <w:t>3</w:t>
      </w:r>
      <w:r>
        <w:rPr>
          <w:rFonts w:hint="eastAsia" w:ascii="宋体" w:hAnsi="宋体" w:eastAsia="宋体" w:cs="宋体"/>
          <w:b/>
          <w:bCs/>
          <w:kern w:val="0"/>
          <w:szCs w:val="21"/>
          <w:highlight w:val="none"/>
          <w:lang w:bidi="ar"/>
        </w:rPr>
        <w:t xml:space="preserve"> </w:t>
      </w:r>
      <w:r>
        <w:rPr>
          <w:rFonts w:hint="eastAsia" w:ascii="宋体" w:hAnsi="宋体" w:cs="宋体"/>
          <w:b/>
          <w:bCs/>
          <w:kern w:val="0"/>
          <w:szCs w:val="21"/>
          <w:highlight w:val="none"/>
          <w:lang w:val="en-US" w:eastAsia="zh-CN" w:bidi="ar"/>
        </w:rPr>
        <w:t xml:space="preserve"> </w:t>
      </w:r>
      <w:r>
        <w:rPr>
          <w:rFonts w:hint="eastAsia" w:cs="宋体"/>
          <w:bCs/>
          <w:kern w:val="0"/>
          <w:szCs w:val="21"/>
          <w:highlight w:val="none"/>
          <w:lang w:bidi="ar"/>
        </w:rPr>
        <w:t>钢筋焊接网片依据《钢筋混凝土用钢筋焊接网》</w:t>
      </w:r>
      <w:r>
        <w:rPr>
          <w:bCs/>
          <w:kern w:val="0"/>
          <w:szCs w:val="21"/>
          <w:highlight w:val="none"/>
          <w:lang w:bidi="ar"/>
        </w:rPr>
        <w:t>GB/T</w:t>
      </w:r>
      <w:r>
        <w:rPr>
          <w:rFonts w:hint="eastAsia"/>
          <w:bCs/>
          <w:kern w:val="0"/>
          <w:szCs w:val="21"/>
          <w:highlight w:val="none"/>
          <w:lang w:val="en-US" w:eastAsia="zh-CN" w:bidi="ar"/>
        </w:rPr>
        <w:t xml:space="preserve"> </w:t>
      </w:r>
      <w:r>
        <w:rPr>
          <w:bCs/>
          <w:kern w:val="0"/>
          <w:szCs w:val="21"/>
          <w:highlight w:val="none"/>
          <w:lang w:bidi="ar"/>
        </w:rPr>
        <w:t>1499.3</w:t>
      </w:r>
      <w:r>
        <w:rPr>
          <w:rFonts w:hint="eastAsia" w:cs="宋体"/>
          <w:bCs/>
          <w:kern w:val="0"/>
          <w:szCs w:val="21"/>
          <w:highlight w:val="none"/>
          <w:lang w:bidi="ar"/>
        </w:rPr>
        <w:t>标准，强调钢筋网片的焊接质量和尺寸误差，对</w:t>
      </w:r>
      <w:r>
        <w:rPr>
          <w:rFonts w:hint="eastAsia" w:ascii="宋体" w:hAnsi="宋体" w:cs="宋体"/>
          <w:szCs w:val="21"/>
          <w:highlight w:val="none"/>
          <w:lang w:bidi="ar"/>
        </w:rPr>
        <w:t>网片长度和宽度的允许偏差由±</w:t>
      </w:r>
      <w:r>
        <w:rPr>
          <w:rFonts w:hint="eastAsia" w:cs="宋体"/>
          <w:szCs w:val="21"/>
          <w:highlight w:val="none"/>
          <w:lang w:bidi="ar"/>
        </w:rPr>
        <w:t>25mm</w:t>
      </w:r>
      <w:r>
        <w:rPr>
          <w:rFonts w:hint="eastAsia" w:ascii="宋体" w:hAnsi="宋体" w:cs="宋体"/>
          <w:szCs w:val="21"/>
          <w:highlight w:val="none"/>
          <w:lang w:bidi="ar"/>
        </w:rPr>
        <w:t>提高至±</w:t>
      </w:r>
      <w:r>
        <w:rPr>
          <w:rFonts w:hint="eastAsia" w:cs="宋体"/>
          <w:szCs w:val="21"/>
          <w:highlight w:val="none"/>
          <w:lang w:bidi="ar"/>
        </w:rPr>
        <w:t>10mm</w:t>
      </w:r>
      <w:r>
        <w:rPr>
          <w:rFonts w:hint="eastAsia" w:ascii="宋体" w:hAnsi="宋体" w:cs="宋体"/>
          <w:szCs w:val="21"/>
          <w:highlight w:val="none"/>
          <w:lang w:bidi="ar"/>
        </w:rPr>
        <w:t>。</w:t>
      </w:r>
    </w:p>
    <w:p>
      <w:pPr>
        <w:spacing w:line="240" w:lineRule="auto"/>
        <w:rPr>
          <w:rFonts w:ascii="宋体" w:hAnsi="宋体" w:cs="宋体"/>
          <w:szCs w:val="21"/>
          <w:highlight w:val="none"/>
        </w:rPr>
      </w:pPr>
      <w:r>
        <w:rPr>
          <w:b/>
          <w:bCs/>
          <w:kern w:val="0"/>
          <w:szCs w:val="21"/>
          <w:highlight w:val="none"/>
          <w:lang w:bidi="ar"/>
        </w:rPr>
        <w:t>4</w:t>
      </w:r>
      <w:r>
        <w:rPr>
          <w:rFonts w:hint="eastAsia" w:ascii="宋体" w:hAnsi="宋体" w:eastAsia="宋体" w:cs="宋体"/>
          <w:b/>
          <w:bCs/>
          <w:kern w:val="0"/>
          <w:szCs w:val="21"/>
          <w:highlight w:val="none"/>
          <w:lang w:bidi="ar"/>
        </w:rPr>
        <w:t>.</w:t>
      </w:r>
      <w:r>
        <w:rPr>
          <w:b/>
          <w:bCs/>
          <w:kern w:val="0"/>
          <w:szCs w:val="21"/>
          <w:highlight w:val="none"/>
          <w:lang w:bidi="ar"/>
        </w:rPr>
        <w:t>2</w:t>
      </w:r>
      <w:r>
        <w:rPr>
          <w:rFonts w:hint="eastAsia" w:ascii="宋体" w:hAnsi="宋体" w:eastAsia="宋体" w:cs="宋体"/>
          <w:b/>
          <w:bCs/>
          <w:kern w:val="0"/>
          <w:szCs w:val="21"/>
          <w:highlight w:val="none"/>
          <w:lang w:bidi="ar"/>
        </w:rPr>
        <w:t>.</w:t>
      </w:r>
      <w:r>
        <w:rPr>
          <w:b/>
          <w:bCs/>
          <w:kern w:val="0"/>
          <w:szCs w:val="21"/>
          <w:highlight w:val="none"/>
          <w:lang w:bidi="ar"/>
        </w:rPr>
        <w:t>4</w:t>
      </w:r>
      <w:r>
        <w:rPr>
          <w:bCs/>
          <w:kern w:val="0"/>
          <w:szCs w:val="21"/>
          <w:highlight w:val="none"/>
          <w:lang w:bidi="ar"/>
        </w:rPr>
        <w:t xml:space="preserve"> </w:t>
      </w:r>
      <w:r>
        <w:rPr>
          <w:rFonts w:hint="eastAsia"/>
          <w:bCs/>
          <w:kern w:val="0"/>
          <w:szCs w:val="21"/>
          <w:highlight w:val="none"/>
          <w:lang w:val="en-US" w:eastAsia="zh-CN" w:bidi="ar"/>
        </w:rPr>
        <w:t xml:space="preserve"> </w:t>
      </w:r>
      <w:r>
        <w:rPr>
          <w:rFonts w:hint="eastAsia" w:cs="宋体"/>
          <w:bCs/>
          <w:kern w:val="0"/>
          <w:szCs w:val="21"/>
          <w:highlight w:val="none"/>
          <w:lang w:bidi="ar"/>
        </w:rPr>
        <w:t>钢筋桁架应</w:t>
      </w:r>
      <w:r>
        <w:rPr>
          <w:rFonts w:hint="eastAsia"/>
          <w:bCs/>
          <w:szCs w:val="21"/>
          <w:highlight w:val="none"/>
        </w:rPr>
        <w:t>依据</w:t>
      </w:r>
      <w:r>
        <w:rPr>
          <w:rFonts w:hint="eastAsia" w:cs="宋体"/>
          <w:bCs/>
          <w:kern w:val="0"/>
          <w:szCs w:val="21"/>
          <w:highlight w:val="none"/>
          <w:lang w:bidi="ar"/>
        </w:rPr>
        <w:t>行业标准《钢筋混凝土用钢筋桁架》</w:t>
      </w:r>
      <w:r>
        <w:rPr>
          <w:bCs/>
          <w:color w:val="000000"/>
          <w:kern w:val="0"/>
          <w:szCs w:val="21"/>
          <w:highlight w:val="none"/>
          <w:lang w:bidi="ar"/>
        </w:rPr>
        <w:t>YB/T</w:t>
      </w:r>
      <w:r>
        <w:rPr>
          <w:bCs/>
          <w:kern w:val="0"/>
          <w:szCs w:val="21"/>
          <w:highlight w:val="none"/>
          <w:lang w:bidi="ar"/>
        </w:rPr>
        <w:t xml:space="preserve"> 4262</w:t>
      </w:r>
      <w:r>
        <w:rPr>
          <w:rFonts w:hint="eastAsia" w:cs="宋体"/>
          <w:bCs/>
          <w:kern w:val="0"/>
          <w:szCs w:val="21"/>
          <w:highlight w:val="none"/>
          <w:lang w:bidi="ar"/>
        </w:rPr>
        <w:t>，强调尺寸、重量偏差及焊接与外观质量。</w:t>
      </w:r>
    </w:p>
    <w:p>
      <w:pPr>
        <w:spacing w:line="240" w:lineRule="auto"/>
        <w:rPr>
          <w:bCs/>
          <w:kern w:val="0"/>
          <w:szCs w:val="21"/>
          <w:highlight w:val="none"/>
        </w:rPr>
      </w:pP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2</w:t>
      </w:r>
      <w:r>
        <w:rPr>
          <w:rFonts w:hint="eastAsia" w:ascii="宋体" w:hAnsi="宋体" w:eastAsia="宋体" w:cs="宋体"/>
          <w:b/>
          <w:bCs/>
          <w:kern w:val="0"/>
          <w:szCs w:val="21"/>
          <w:highlight w:val="none"/>
          <w:lang w:bidi="ar"/>
        </w:rPr>
        <w:t>.</w:t>
      </w:r>
      <w:r>
        <w:rPr>
          <w:b/>
          <w:szCs w:val="36"/>
          <w:highlight w:val="none"/>
          <w:lang w:bidi="ar"/>
        </w:rPr>
        <w:t xml:space="preserve">5 </w:t>
      </w:r>
      <w:r>
        <w:rPr>
          <w:rFonts w:hint="eastAsia"/>
          <w:b/>
          <w:szCs w:val="36"/>
          <w:highlight w:val="none"/>
          <w:lang w:val="en-US" w:eastAsia="zh-CN" w:bidi="ar"/>
        </w:rPr>
        <w:t xml:space="preserve"> </w:t>
      </w:r>
      <w:r>
        <w:rPr>
          <w:rFonts w:hint="eastAsia" w:cs="宋体"/>
          <w:szCs w:val="21"/>
          <w:highlight w:val="none"/>
          <w:lang w:bidi="ar"/>
        </w:rPr>
        <w:t>预应力</w:t>
      </w:r>
      <w:r>
        <w:rPr>
          <w:rFonts w:hint="eastAsia" w:ascii="Times New Roman" w:hAnsi="Times New Roman" w:eastAsia="宋体" w:cs="Times New Roman"/>
          <w:szCs w:val="21"/>
          <w:highlight w:val="none"/>
        </w:rPr>
        <w:t>混凝土</w:t>
      </w:r>
      <w:r>
        <w:rPr>
          <w:rFonts w:hint="eastAsia" w:cs="宋体"/>
          <w:szCs w:val="21"/>
          <w:highlight w:val="none"/>
          <w:lang w:bidi="ar"/>
        </w:rPr>
        <w:t>钢管桁架叠合板目前仅有团体标准</w:t>
      </w:r>
      <w:r>
        <w:rPr>
          <w:rFonts w:hint="eastAsia" w:cs="宋体"/>
          <w:bCs/>
          <w:kern w:val="0"/>
          <w:szCs w:val="21"/>
          <w:highlight w:val="none"/>
          <w:lang w:bidi="ar"/>
        </w:rPr>
        <w:t>《</w:t>
      </w:r>
      <w:r>
        <w:rPr>
          <w:rFonts w:hint="eastAsia" w:cs="宋体"/>
          <w:szCs w:val="21"/>
          <w:highlight w:val="none"/>
          <w:lang w:bidi="ar"/>
        </w:rPr>
        <w:t>预应力混凝土钢管桁架叠合板技术规程》</w:t>
      </w:r>
      <w:r>
        <w:rPr>
          <w:szCs w:val="21"/>
          <w:highlight w:val="none"/>
          <w:lang w:bidi="ar"/>
        </w:rPr>
        <w:t>T/CECS-722-2020</w:t>
      </w:r>
      <w:r>
        <w:rPr>
          <w:rFonts w:hint="eastAsia" w:cs="宋体"/>
          <w:szCs w:val="21"/>
          <w:highlight w:val="none"/>
          <w:lang w:bidi="ar"/>
        </w:rPr>
        <w:t>，依据此标准编制。</w:t>
      </w:r>
    </w:p>
    <w:p>
      <w:pPr>
        <w:spacing w:line="240" w:lineRule="auto"/>
        <w:rPr>
          <w:rFonts w:cs="宋体"/>
          <w:bCs/>
          <w:kern w:val="0"/>
          <w:szCs w:val="21"/>
          <w:highlight w:val="none"/>
          <w:lang w:bidi="ar"/>
        </w:rPr>
      </w:pP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2</w:t>
      </w:r>
      <w:r>
        <w:rPr>
          <w:rFonts w:hint="eastAsia" w:ascii="宋体" w:hAnsi="宋体" w:eastAsia="宋体" w:cs="宋体"/>
          <w:b/>
          <w:bCs/>
          <w:kern w:val="0"/>
          <w:szCs w:val="21"/>
          <w:highlight w:val="none"/>
          <w:lang w:bidi="ar"/>
        </w:rPr>
        <w:t>.</w:t>
      </w:r>
      <w:r>
        <w:rPr>
          <w:b/>
          <w:szCs w:val="36"/>
          <w:highlight w:val="none"/>
          <w:lang w:bidi="ar"/>
        </w:rPr>
        <w:t xml:space="preserve">6 </w:t>
      </w:r>
      <w:r>
        <w:rPr>
          <w:rFonts w:hint="eastAsia"/>
          <w:b/>
          <w:szCs w:val="36"/>
          <w:highlight w:val="none"/>
          <w:lang w:val="en-US" w:eastAsia="zh-CN" w:bidi="ar"/>
        </w:rPr>
        <w:t xml:space="preserve"> </w:t>
      </w:r>
      <w:r>
        <w:rPr>
          <w:rFonts w:hint="eastAsia" w:cs="宋体"/>
          <w:bCs/>
          <w:kern w:val="0"/>
          <w:szCs w:val="21"/>
          <w:highlight w:val="none"/>
          <w:lang w:bidi="ar"/>
        </w:rPr>
        <w:t>钢筋调直会影响到钢筋的性能，予以强调重视。</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rFonts w:hint="eastAsia" w:ascii="黑体" w:hAnsi="黑体" w:eastAsia="黑体" w:cs="黑体"/>
          <w:b w:val="0"/>
          <w:bCs/>
          <w:szCs w:val="21"/>
          <w:highlight w:val="none"/>
          <w:lang w:val="en-US" w:eastAsia="zh-CN" w:bidi="ar"/>
        </w:rPr>
      </w:pPr>
      <w:bookmarkStart w:id="538" w:name="_Toc9946"/>
      <w:bookmarkStart w:id="539" w:name="_Toc154586216"/>
      <w:bookmarkStart w:id="540" w:name="_Toc117169907"/>
      <w:bookmarkStart w:id="541" w:name="_Toc116581522"/>
      <w:bookmarkStart w:id="542" w:name="_Toc116583456"/>
      <w:bookmarkStart w:id="543" w:name="_Toc154584892"/>
      <w:bookmarkStart w:id="544" w:name="_Toc21084"/>
      <w:bookmarkStart w:id="545" w:name="_Toc9881"/>
      <w:bookmarkStart w:id="546" w:name="_Toc143006975"/>
      <w:bookmarkStart w:id="547" w:name="_Toc154586938"/>
      <w:bookmarkStart w:id="548" w:name="_Toc153206003"/>
      <w:r>
        <w:rPr>
          <w:b/>
          <w:szCs w:val="21"/>
          <w:highlight w:val="none"/>
          <w:lang w:bidi="ar"/>
        </w:rPr>
        <w:t>4</w:t>
      </w:r>
      <w:r>
        <w:rPr>
          <w:rFonts w:hint="eastAsia" w:ascii="宋体" w:hAnsi="宋体" w:eastAsia="宋体" w:cs="宋体"/>
          <w:b/>
          <w:szCs w:val="21"/>
          <w:highlight w:val="none"/>
          <w:lang w:bidi="ar"/>
        </w:rPr>
        <w:t>.</w:t>
      </w:r>
      <w:r>
        <w:rPr>
          <w:b/>
          <w:szCs w:val="21"/>
          <w:highlight w:val="none"/>
          <w:lang w:bidi="ar"/>
        </w:rPr>
        <w:t>3</w:t>
      </w:r>
      <w:r>
        <w:rPr>
          <w:rFonts w:hint="eastAsia" w:ascii="黑体" w:hAnsi="黑体" w:eastAsia="黑体" w:cs="黑体"/>
          <w:b w:val="0"/>
          <w:bCs/>
          <w:szCs w:val="21"/>
          <w:highlight w:val="none"/>
          <w:lang w:val="en-US" w:eastAsia="zh-CN" w:bidi="ar"/>
        </w:rPr>
        <w:t xml:space="preserve">  混 凝 土</w:t>
      </w:r>
      <w:bookmarkEnd w:id="538"/>
      <w:bookmarkEnd w:id="539"/>
      <w:bookmarkEnd w:id="540"/>
      <w:bookmarkEnd w:id="541"/>
      <w:bookmarkEnd w:id="542"/>
      <w:bookmarkEnd w:id="543"/>
      <w:bookmarkEnd w:id="544"/>
      <w:bookmarkEnd w:id="545"/>
      <w:bookmarkEnd w:id="546"/>
      <w:bookmarkEnd w:id="547"/>
      <w:bookmarkEnd w:id="548"/>
    </w:p>
    <w:p>
      <w:pPr>
        <w:spacing w:line="240" w:lineRule="auto"/>
        <w:jc w:val="both"/>
        <w:rPr>
          <w:highlight w:val="none"/>
        </w:rPr>
      </w:pPr>
      <w:r>
        <w:rPr>
          <w:b/>
          <w:highlight w:val="none"/>
          <w:lang w:bidi="ar"/>
        </w:rPr>
        <w:t>4</w:t>
      </w:r>
      <w:r>
        <w:rPr>
          <w:rFonts w:hint="eastAsia" w:ascii="宋体" w:hAnsi="宋体" w:eastAsia="宋体" w:cs="宋体"/>
          <w:b/>
          <w:bCs/>
          <w:kern w:val="0"/>
          <w:szCs w:val="21"/>
          <w:highlight w:val="none"/>
          <w:lang w:bidi="ar"/>
        </w:rPr>
        <w:t>.</w:t>
      </w:r>
      <w:r>
        <w:rPr>
          <w:b/>
          <w:highlight w:val="none"/>
          <w:lang w:bidi="ar"/>
        </w:rPr>
        <w:t>3</w:t>
      </w:r>
      <w:r>
        <w:rPr>
          <w:rFonts w:hint="eastAsia" w:ascii="宋体" w:hAnsi="宋体" w:eastAsia="宋体" w:cs="宋体"/>
          <w:b/>
          <w:bCs/>
          <w:kern w:val="0"/>
          <w:szCs w:val="21"/>
          <w:highlight w:val="none"/>
          <w:lang w:bidi="ar"/>
        </w:rPr>
        <w:t>.</w:t>
      </w:r>
      <w:r>
        <w:rPr>
          <w:b/>
          <w:highlight w:val="none"/>
          <w:lang w:bidi="ar"/>
        </w:rPr>
        <w:t>4</w:t>
      </w:r>
      <w:r>
        <w:rPr>
          <w:rFonts w:hint="eastAsia"/>
          <w:b/>
          <w:highlight w:val="none"/>
          <w:lang w:val="en-US" w:eastAsia="zh-CN" w:bidi="ar"/>
        </w:rPr>
        <w:t xml:space="preserve">  </w:t>
      </w:r>
      <w:r>
        <w:rPr>
          <w:rFonts w:hint="eastAsia" w:cs="宋体"/>
          <w:highlight w:val="none"/>
          <w:lang w:bidi="ar"/>
        </w:rPr>
        <w:t>细骨料的选用，</w:t>
      </w:r>
      <w:r>
        <w:rPr>
          <w:rFonts w:hint="eastAsia"/>
          <w:bCs/>
          <w:szCs w:val="21"/>
          <w:highlight w:val="none"/>
        </w:rPr>
        <w:t>强调</w:t>
      </w:r>
      <w:r>
        <w:rPr>
          <w:rFonts w:hint="eastAsia" w:cs="宋体"/>
          <w:highlight w:val="none"/>
          <w:lang w:bidi="ar"/>
        </w:rPr>
        <w:t>了氯离子含量及海砂的使用须经过净化。</w:t>
      </w:r>
    </w:p>
    <w:p>
      <w:pPr>
        <w:spacing w:line="240" w:lineRule="auto"/>
        <w:rPr>
          <w:b/>
          <w:highlight w:val="none"/>
        </w:rPr>
      </w:pPr>
      <w:r>
        <w:rPr>
          <w:b/>
          <w:highlight w:val="none"/>
          <w:lang w:bidi="ar"/>
        </w:rPr>
        <w:t>4</w:t>
      </w:r>
      <w:r>
        <w:rPr>
          <w:rFonts w:hint="eastAsia" w:ascii="宋体" w:hAnsi="宋体" w:eastAsia="宋体" w:cs="宋体"/>
          <w:b/>
          <w:bCs/>
          <w:kern w:val="0"/>
          <w:szCs w:val="21"/>
          <w:highlight w:val="none"/>
          <w:lang w:bidi="ar"/>
        </w:rPr>
        <w:t>.</w:t>
      </w:r>
      <w:r>
        <w:rPr>
          <w:b/>
          <w:highlight w:val="none"/>
          <w:lang w:bidi="ar"/>
        </w:rPr>
        <w:t>3</w:t>
      </w:r>
      <w:r>
        <w:rPr>
          <w:rFonts w:hint="eastAsia" w:ascii="宋体" w:hAnsi="宋体" w:eastAsia="宋体" w:cs="宋体"/>
          <w:b/>
          <w:bCs/>
          <w:kern w:val="0"/>
          <w:szCs w:val="21"/>
          <w:highlight w:val="none"/>
          <w:lang w:bidi="ar"/>
        </w:rPr>
        <w:t>.</w:t>
      </w:r>
      <w:r>
        <w:rPr>
          <w:b/>
          <w:highlight w:val="none"/>
          <w:lang w:bidi="ar"/>
        </w:rPr>
        <w:t xml:space="preserve">7 </w:t>
      </w:r>
      <w:r>
        <w:rPr>
          <w:rFonts w:hint="eastAsia"/>
          <w:b/>
          <w:highlight w:val="none"/>
          <w:lang w:val="en-US" w:eastAsia="zh-CN" w:bidi="ar"/>
        </w:rPr>
        <w:t xml:space="preserve"> </w:t>
      </w:r>
      <w:r>
        <w:rPr>
          <w:rFonts w:hint="eastAsia" w:ascii="Tahoma" w:hAnsi="Tahoma" w:cs="Tahoma"/>
          <w:color w:val="333333"/>
          <w:szCs w:val="21"/>
          <w:highlight w:val="none"/>
          <w:lang w:bidi="ar"/>
        </w:rPr>
        <w:t>再生骨料的</w:t>
      </w:r>
      <w:r>
        <w:rPr>
          <w:rFonts w:hint="eastAsia"/>
          <w:bCs/>
          <w:szCs w:val="21"/>
          <w:highlight w:val="none"/>
        </w:rPr>
        <w:t>应用</w:t>
      </w:r>
      <w:r>
        <w:rPr>
          <w:rFonts w:hint="eastAsia" w:ascii="Tahoma" w:hAnsi="Tahoma" w:cs="Tahoma"/>
          <w:color w:val="333333"/>
          <w:szCs w:val="21"/>
          <w:highlight w:val="none"/>
          <w:lang w:bidi="ar"/>
        </w:rPr>
        <w:t>，目前多用于市政类构件，在预制混凝土构件生产中较少用，但是未来的趋势，在行业标准《再生骨料应用技术规程》</w:t>
      </w:r>
      <w:r>
        <w:rPr>
          <w:rFonts w:eastAsia="Tahoma" w:cs="Tahoma"/>
          <w:color w:val="333333"/>
          <w:szCs w:val="21"/>
          <w:highlight w:val="none"/>
          <w:lang w:bidi="ar"/>
        </w:rPr>
        <w:t>JGJ</w:t>
      </w:r>
      <w:r>
        <w:rPr>
          <w:rFonts w:ascii="Tahoma" w:hAnsi="Tahoma" w:eastAsia="Tahoma" w:cs="Tahoma"/>
          <w:color w:val="333333"/>
          <w:szCs w:val="21"/>
          <w:highlight w:val="none"/>
          <w:lang w:bidi="ar"/>
        </w:rPr>
        <w:t>/</w:t>
      </w:r>
      <w:r>
        <w:rPr>
          <w:rFonts w:eastAsia="Tahoma" w:cs="Tahoma"/>
          <w:color w:val="333333"/>
          <w:szCs w:val="21"/>
          <w:highlight w:val="none"/>
          <w:lang w:bidi="ar"/>
        </w:rPr>
        <w:t>T</w:t>
      </w:r>
      <w:r>
        <w:rPr>
          <w:rFonts w:hint="eastAsia" w:cs="Tahoma"/>
          <w:color w:val="333333"/>
          <w:szCs w:val="21"/>
          <w:highlight w:val="none"/>
          <w:lang w:val="en-US" w:eastAsia="zh-CN" w:bidi="ar"/>
        </w:rPr>
        <w:t xml:space="preserve"> </w:t>
      </w:r>
      <w:r>
        <w:rPr>
          <w:rFonts w:eastAsia="Tahoma" w:cs="Tahoma"/>
          <w:color w:val="333333"/>
          <w:szCs w:val="21"/>
          <w:highlight w:val="none"/>
          <w:lang w:bidi="ar"/>
        </w:rPr>
        <w:t>240</w:t>
      </w:r>
      <w:r>
        <w:rPr>
          <w:rFonts w:hint="eastAsia" w:ascii="Tahoma" w:hAnsi="Tahoma" w:cs="Tahoma"/>
          <w:color w:val="333333"/>
          <w:szCs w:val="21"/>
          <w:highlight w:val="none"/>
          <w:lang w:bidi="ar"/>
        </w:rPr>
        <w:t>的基础上，调低了再生粗骨料用以配制的混凝土强度等级，与细骨料相对应。</w:t>
      </w:r>
    </w:p>
    <w:p>
      <w:pPr>
        <w:spacing w:line="240" w:lineRule="auto"/>
        <w:rPr>
          <w:rFonts w:ascii="Tahoma" w:hAnsi="Tahoma" w:eastAsia="Tahoma" w:cs="Tahoma"/>
          <w:color w:val="333333"/>
          <w:szCs w:val="21"/>
          <w:highlight w:val="none"/>
        </w:rPr>
      </w:pPr>
      <w:r>
        <w:rPr>
          <w:b/>
          <w:highlight w:val="none"/>
          <w:lang w:bidi="ar"/>
        </w:rPr>
        <w:t>4</w:t>
      </w:r>
      <w:r>
        <w:rPr>
          <w:rFonts w:hint="eastAsia" w:ascii="宋体" w:hAnsi="宋体" w:eastAsia="宋体" w:cs="宋体"/>
          <w:b/>
          <w:bCs/>
          <w:kern w:val="0"/>
          <w:szCs w:val="21"/>
          <w:highlight w:val="none"/>
          <w:lang w:bidi="ar"/>
        </w:rPr>
        <w:t>.</w:t>
      </w:r>
      <w:r>
        <w:rPr>
          <w:b/>
          <w:highlight w:val="none"/>
          <w:lang w:bidi="ar"/>
        </w:rPr>
        <w:t>3</w:t>
      </w:r>
      <w:r>
        <w:rPr>
          <w:rFonts w:hint="eastAsia" w:ascii="宋体" w:hAnsi="宋体" w:eastAsia="宋体" w:cs="宋体"/>
          <w:b/>
          <w:bCs/>
          <w:kern w:val="0"/>
          <w:szCs w:val="21"/>
          <w:highlight w:val="none"/>
          <w:lang w:bidi="ar"/>
        </w:rPr>
        <w:t>.</w:t>
      </w:r>
      <w:r>
        <w:rPr>
          <w:b/>
          <w:highlight w:val="none"/>
          <w:lang w:bidi="ar"/>
        </w:rPr>
        <w:t xml:space="preserve">8 </w:t>
      </w:r>
      <w:r>
        <w:rPr>
          <w:rFonts w:hint="eastAsia"/>
          <w:b/>
          <w:highlight w:val="none"/>
          <w:lang w:val="en-US" w:eastAsia="zh-CN" w:bidi="ar"/>
        </w:rPr>
        <w:t xml:space="preserve"> </w:t>
      </w:r>
      <w:r>
        <w:rPr>
          <w:rFonts w:hint="eastAsia" w:ascii="Tahoma" w:hAnsi="Tahoma" w:cs="Tahoma"/>
          <w:color w:val="333333"/>
          <w:szCs w:val="21"/>
          <w:highlight w:val="none"/>
          <w:lang w:bidi="ar"/>
        </w:rPr>
        <w:t>预制</w:t>
      </w:r>
      <w:r>
        <w:rPr>
          <w:rFonts w:hint="eastAsia"/>
          <w:szCs w:val="21"/>
          <w:highlight w:val="none"/>
        </w:rPr>
        <w:t>混凝土</w:t>
      </w:r>
      <w:r>
        <w:rPr>
          <w:rFonts w:hint="eastAsia" w:ascii="Tahoma" w:hAnsi="Tahoma" w:cs="Tahoma"/>
          <w:color w:val="333333"/>
          <w:szCs w:val="21"/>
          <w:highlight w:val="none"/>
          <w:lang w:bidi="ar"/>
        </w:rPr>
        <w:t>构件生产，对混凝土的早期强度要求高，外加剂的选用应选用高效减水剂，需注意对混凝土总碱含量的影响，尤其是使用碱活性骨料时。并应注意使用时的保管，保证匀质性，达到减水效果。</w:t>
      </w:r>
    </w:p>
    <w:p>
      <w:pPr>
        <w:spacing w:line="240" w:lineRule="auto"/>
        <w:rPr>
          <w:rFonts w:ascii="Tahoma" w:hAnsi="Tahoma" w:eastAsia="Tahoma" w:cs="Tahoma"/>
          <w:color w:val="333333"/>
          <w:szCs w:val="21"/>
          <w:highlight w:val="none"/>
        </w:rPr>
      </w:pPr>
      <w:r>
        <w:rPr>
          <w:b/>
          <w:kern w:val="0"/>
          <w:szCs w:val="21"/>
          <w:highlight w:val="none"/>
          <w:lang w:bidi="ar"/>
        </w:rPr>
        <w:t>4</w:t>
      </w:r>
      <w:r>
        <w:rPr>
          <w:rFonts w:hint="eastAsia" w:ascii="宋体" w:hAnsi="宋体" w:eastAsia="宋体" w:cs="宋体"/>
          <w:b/>
          <w:bCs/>
          <w:kern w:val="0"/>
          <w:szCs w:val="21"/>
          <w:highlight w:val="none"/>
          <w:lang w:bidi="ar"/>
        </w:rPr>
        <w:t>.</w:t>
      </w:r>
      <w:r>
        <w:rPr>
          <w:b/>
          <w:kern w:val="0"/>
          <w:szCs w:val="21"/>
          <w:highlight w:val="none"/>
          <w:lang w:bidi="ar"/>
        </w:rPr>
        <w:t>3</w:t>
      </w:r>
      <w:r>
        <w:rPr>
          <w:rFonts w:hint="eastAsia" w:ascii="宋体" w:hAnsi="宋体" w:eastAsia="宋体" w:cs="宋体"/>
          <w:b/>
          <w:bCs/>
          <w:kern w:val="0"/>
          <w:szCs w:val="21"/>
          <w:highlight w:val="none"/>
          <w:lang w:bidi="ar"/>
        </w:rPr>
        <w:t>.</w:t>
      </w:r>
      <w:r>
        <w:rPr>
          <w:b/>
          <w:kern w:val="0"/>
          <w:szCs w:val="21"/>
          <w:highlight w:val="none"/>
          <w:lang w:bidi="ar"/>
        </w:rPr>
        <w:t>11</w:t>
      </w:r>
      <w:r>
        <w:rPr>
          <w:b/>
          <w:szCs w:val="21"/>
          <w:highlight w:val="none"/>
          <w:lang w:bidi="ar"/>
        </w:rPr>
        <w:t xml:space="preserve"> </w:t>
      </w:r>
      <w:r>
        <w:rPr>
          <w:rFonts w:hint="eastAsia"/>
          <w:b/>
          <w:szCs w:val="21"/>
          <w:highlight w:val="none"/>
          <w:lang w:val="en-US" w:eastAsia="zh-CN" w:bidi="ar"/>
        </w:rPr>
        <w:t xml:space="preserve"> </w:t>
      </w:r>
      <w:r>
        <w:rPr>
          <w:rFonts w:hint="eastAsia" w:cs="宋体"/>
          <w:szCs w:val="21"/>
          <w:highlight w:val="none"/>
          <w:lang w:bidi="ar"/>
        </w:rPr>
        <w:t>混凝土的</w:t>
      </w:r>
      <w:r>
        <w:rPr>
          <w:rFonts w:hint="eastAsia"/>
          <w:bCs/>
          <w:szCs w:val="21"/>
          <w:highlight w:val="none"/>
        </w:rPr>
        <w:t>要求</w:t>
      </w:r>
      <w:r>
        <w:rPr>
          <w:rFonts w:hint="eastAsia" w:cs="宋体"/>
          <w:szCs w:val="21"/>
          <w:highlight w:val="none"/>
          <w:lang w:bidi="ar"/>
        </w:rPr>
        <w:t>，</w:t>
      </w:r>
      <w:r>
        <w:rPr>
          <w:rFonts w:hint="eastAsia" w:ascii="Times New Roman" w:hAnsi="Times New Roman" w:eastAsia="宋体" w:cs="Times New Roman"/>
          <w:szCs w:val="21"/>
          <w:highlight w:val="none"/>
        </w:rPr>
        <w:t>根据</w:t>
      </w:r>
      <w:r>
        <w:rPr>
          <w:rFonts w:hint="eastAsia" w:ascii="Segoe UI" w:hAnsi="Segoe UI" w:cs="Segoe UI"/>
          <w:color w:val="101214"/>
          <w:szCs w:val="21"/>
          <w:highlight w:val="none"/>
          <w:shd w:val="clear" w:color="auto" w:fill="FCFDFE"/>
          <w:lang w:bidi="ar"/>
        </w:rPr>
        <w:t>环境等级对最大氯离子含量、最大碱含量进行了明确，并根据预制</w:t>
      </w:r>
      <w:r>
        <w:rPr>
          <w:rFonts w:hint="eastAsia"/>
          <w:szCs w:val="21"/>
          <w:highlight w:val="none"/>
        </w:rPr>
        <w:t>混凝土</w:t>
      </w:r>
      <w:r>
        <w:rPr>
          <w:rFonts w:hint="eastAsia" w:ascii="Segoe UI" w:hAnsi="Segoe UI" w:cs="Segoe UI"/>
          <w:color w:val="101214"/>
          <w:szCs w:val="21"/>
          <w:highlight w:val="none"/>
          <w:shd w:val="clear" w:color="auto" w:fill="FCFDFE"/>
          <w:lang w:bidi="ar"/>
        </w:rPr>
        <w:t>构件生产的特点，提高了混凝土流动性的要求及温度要求。</w:t>
      </w:r>
    </w:p>
    <w:p>
      <w:pPr>
        <w:spacing w:line="240" w:lineRule="auto"/>
        <w:rPr>
          <w:szCs w:val="21"/>
          <w:highlight w:val="none"/>
        </w:rPr>
      </w:pPr>
      <w:r>
        <w:rPr>
          <w:b/>
          <w:kern w:val="0"/>
          <w:szCs w:val="21"/>
          <w:highlight w:val="none"/>
          <w:lang w:bidi="ar"/>
        </w:rPr>
        <w:t>4</w:t>
      </w:r>
      <w:r>
        <w:rPr>
          <w:rFonts w:hint="eastAsia" w:ascii="宋体" w:hAnsi="宋体" w:eastAsia="宋体" w:cs="宋体"/>
          <w:b/>
          <w:bCs/>
          <w:kern w:val="0"/>
          <w:szCs w:val="21"/>
          <w:highlight w:val="none"/>
          <w:lang w:bidi="ar"/>
        </w:rPr>
        <w:t>.</w:t>
      </w:r>
      <w:r>
        <w:rPr>
          <w:b/>
          <w:kern w:val="0"/>
          <w:szCs w:val="21"/>
          <w:highlight w:val="none"/>
          <w:lang w:bidi="ar"/>
        </w:rPr>
        <w:t>3</w:t>
      </w:r>
      <w:r>
        <w:rPr>
          <w:rFonts w:hint="eastAsia" w:ascii="宋体" w:hAnsi="宋体" w:eastAsia="宋体" w:cs="宋体"/>
          <w:b/>
          <w:bCs/>
          <w:kern w:val="0"/>
          <w:szCs w:val="21"/>
          <w:highlight w:val="none"/>
          <w:lang w:bidi="ar"/>
        </w:rPr>
        <w:t>.</w:t>
      </w:r>
      <w:r>
        <w:rPr>
          <w:b/>
          <w:kern w:val="0"/>
          <w:szCs w:val="21"/>
          <w:highlight w:val="none"/>
          <w:lang w:bidi="ar"/>
        </w:rPr>
        <w:t>12</w:t>
      </w:r>
      <w:r>
        <w:rPr>
          <w:b/>
          <w:szCs w:val="21"/>
          <w:highlight w:val="none"/>
          <w:lang w:bidi="ar"/>
        </w:rPr>
        <w:t xml:space="preserve"> </w:t>
      </w:r>
      <w:r>
        <w:rPr>
          <w:rFonts w:hint="eastAsia"/>
          <w:b/>
          <w:szCs w:val="21"/>
          <w:highlight w:val="none"/>
          <w:lang w:val="en-US" w:eastAsia="zh-CN" w:bidi="ar"/>
        </w:rPr>
        <w:t xml:space="preserve"> </w:t>
      </w:r>
      <w:r>
        <w:rPr>
          <w:rFonts w:hint="eastAsia" w:cs="宋体"/>
          <w:szCs w:val="21"/>
          <w:highlight w:val="none"/>
          <w:lang w:bidi="ar"/>
        </w:rPr>
        <w:t>对需要进行混凝土配合比设计的情况进行了明确，规范配合比的使用，以保证混凝土的性能满足项目需求。</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rFonts w:hint="eastAsia" w:ascii="黑体" w:hAnsi="黑体" w:eastAsia="黑体" w:cs="黑体"/>
          <w:b w:val="0"/>
          <w:bCs/>
          <w:szCs w:val="21"/>
          <w:highlight w:val="none"/>
          <w:lang w:val="en-US" w:eastAsia="zh-CN" w:bidi="ar"/>
        </w:rPr>
      </w:pPr>
      <w:bookmarkStart w:id="549" w:name="_Toc153206004"/>
      <w:bookmarkStart w:id="550" w:name="_Toc154584893"/>
      <w:bookmarkStart w:id="551" w:name="_Toc154586217"/>
      <w:bookmarkStart w:id="552" w:name="_Toc2333"/>
      <w:bookmarkStart w:id="553" w:name="_Toc154586939"/>
      <w:bookmarkStart w:id="554" w:name="_Toc116583457"/>
      <w:bookmarkStart w:id="555" w:name="_Toc143006976"/>
      <w:bookmarkStart w:id="556" w:name="_Toc117169908"/>
      <w:bookmarkStart w:id="557" w:name="_Toc11576"/>
      <w:bookmarkStart w:id="558" w:name="_Toc116581523"/>
      <w:bookmarkStart w:id="559" w:name="_Toc1942"/>
      <w:r>
        <w:rPr>
          <w:b/>
          <w:szCs w:val="21"/>
          <w:highlight w:val="none"/>
          <w:lang w:bidi="ar"/>
        </w:rPr>
        <w:t>4</w:t>
      </w:r>
      <w:r>
        <w:rPr>
          <w:rFonts w:hint="eastAsia" w:ascii="宋体" w:hAnsi="宋体" w:eastAsia="宋体" w:cs="宋体"/>
          <w:b/>
          <w:szCs w:val="21"/>
          <w:highlight w:val="none"/>
          <w:lang w:bidi="ar"/>
        </w:rPr>
        <w:t>.</w:t>
      </w:r>
      <w:r>
        <w:rPr>
          <w:b/>
          <w:szCs w:val="21"/>
          <w:highlight w:val="none"/>
          <w:lang w:bidi="ar"/>
        </w:rPr>
        <w:t>4</w:t>
      </w:r>
      <w:r>
        <w:rPr>
          <w:rFonts w:hint="eastAsia" w:ascii="黑体" w:hAnsi="黑体" w:eastAsia="黑体" w:cs="黑体"/>
          <w:b w:val="0"/>
          <w:bCs/>
          <w:szCs w:val="21"/>
          <w:highlight w:val="none"/>
          <w:lang w:val="en-US" w:eastAsia="zh-CN" w:bidi="ar"/>
        </w:rPr>
        <w:t xml:space="preserve">  预 埋 件</w:t>
      </w:r>
      <w:bookmarkEnd w:id="549"/>
      <w:bookmarkEnd w:id="550"/>
      <w:bookmarkEnd w:id="551"/>
      <w:bookmarkEnd w:id="552"/>
      <w:bookmarkEnd w:id="553"/>
      <w:bookmarkEnd w:id="554"/>
      <w:bookmarkEnd w:id="555"/>
      <w:bookmarkEnd w:id="556"/>
      <w:bookmarkEnd w:id="557"/>
      <w:bookmarkEnd w:id="558"/>
      <w:bookmarkEnd w:id="559"/>
    </w:p>
    <w:p>
      <w:pPr>
        <w:spacing w:line="240" w:lineRule="auto"/>
        <w:rPr>
          <w:rFonts w:hint="eastAsia" w:cs="宋体"/>
          <w:szCs w:val="36"/>
          <w:highlight w:val="none"/>
          <w:lang w:bidi="ar"/>
        </w:rPr>
      </w:pPr>
      <w:r>
        <w:rPr>
          <w:b/>
          <w:bCs/>
          <w:kern w:val="0"/>
          <w:szCs w:val="21"/>
          <w:highlight w:val="none"/>
          <w:lang w:bidi="ar"/>
        </w:rPr>
        <w:t>4</w:t>
      </w:r>
      <w:r>
        <w:rPr>
          <w:rFonts w:hint="eastAsia" w:ascii="宋体" w:hAnsi="宋体" w:eastAsia="宋体" w:cs="宋体"/>
          <w:b/>
          <w:bCs/>
          <w:kern w:val="0"/>
          <w:szCs w:val="21"/>
          <w:highlight w:val="none"/>
          <w:lang w:bidi="ar"/>
        </w:rPr>
        <w:t>.</w:t>
      </w:r>
      <w:r>
        <w:rPr>
          <w:b/>
          <w:bCs/>
          <w:kern w:val="0"/>
          <w:szCs w:val="21"/>
          <w:highlight w:val="none"/>
          <w:lang w:bidi="ar"/>
        </w:rPr>
        <w:t>4</w:t>
      </w:r>
      <w:r>
        <w:rPr>
          <w:rFonts w:hint="eastAsia" w:ascii="宋体" w:hAnsi="宋体" w:eastAsia="宋体" w:cs="宋体"/>
          <w:b/>
          <w:bCs/>
          <w:kern w:val="0"/>
          <w:szCs w:val="21"/>
          <w:highlight w:val="none"/>
          <w:lang w:bidi="ar"/>
        </w:rPr>
        <w:t>.</w:t>
      </w:r>
      <w:r>
        <w:rPr>
          <w:b/>
          <w:bCs/>
          <w:kern w:val="0"/>
          <w:szCs w:val="21"/>
          <w:highlight w:val="none"/>
          <w:lang w:bidi="ar"/>
        </w:rPr>
        <w:t>1</w:t>
      </w:r>
      <w:r>
        <w:rPr>
          <w:bCs/>
          <w:kern w:val="0"/>
          <w:szCs w:val="21"/>
          <w:highlight w:val="none"/>
          <w:lang w:bidi="ar"/>
        </w:rPr>
        <w:t xml:space="preserve"> </w:t>
      </w:r>
      <w:r>
        <w:rPr>
          <w:rFonts w:hint="eastAsia"/>
          <w:bCs/>
          <w:kern w:val="0"/>
          <w:szCs w:val="21"/>
          <w:highlight w:val="none"/>
          <w:lang w:val="en-US" w:eastAsia="zh-CN" w:bidi="ar"/>
        </w:rPr>
        <w:t xml:space="preserve"> </w:t>
      </w:r>
      <w:r>
        <w:rPr>
          <w:rFonts w:hint="eastAsia" w:cs="宋体"/>
          <w:szCs w:val="36"/>
          <w:highlight w:val="none"/>
          <w:lang w:bidi="ar"/>
        </w:rPr>
        <w:t>钢筋吊环应</w:t>
      </w:r>
      <w:r>
        <w:rPr>
          <w:rFonts w:hint="eastAsia"/>
          <w:bCs/>
          <w:szCs w:val="21"/>
          <w:highlight w:val="none"/>
        </w:rPr>
        <w:t>符合</w:t>
      </w:r>
      <w:r>
        <w:rPr>
          <w:rFonts w:hint="eastAsia" w:cs="宋体"/>
          <w:szCs w:val="36"/>
          <w:highlight w:val="none"/>
          <w:lang w:bidi="ar"/>
        </w:rPr>
        <w:t>国家现行标准《混凝土结构设计规范》GB 50010的要求，对钢筋吊环的材质进行了明确，对应</w:t>
      </w:r>
      <w:r>
        <w:rPr>
          <w:rFonts w:hint="eastAsia"/>
          <w:bCs/>
          <w:szCs w:val="21"/>
          <w:highlight w:val="none"/>
        </w:rPr>
        <w:t>钢筋</w:t>
      </w:r>
      <w:r>
        <w:rPr>
          <w:rFonts w:hint="eastAsia" w:cs="宋体"/>
          <w:szCs w:val="36"/>
          <w:highlight w:val="none"/>
          <w:lang w:bidi="ar"/>
        </w:rPr>
        <w:t>直径应选用的钢筋材质及验算拉应力做了规定。</w:t>
      </w:r>
    </w:p>
    <w:p>
      <w:pPr>
        <w:spacing w:line="240" w:lineRule="auto"/>
        <w:rPr>
          <w:rFonts w:hint="eastAsia" w:cs="宋体"/>
          <w:szCs w:val="36"/>
          <w:highlight w:val="none"/>
          <w:lang w:bidi="ar"/>
        </w:rPr>
      </w:pPr>
      <w:r>
        <w:rPr>
          <w:b/>
          <w:bCs/>
          <w:kern w:val="0"/>
          <w:szCs w:val="21"/>
          <w:highlight w:val="none"/>
          <w:lang w:bidi="ar"/>
        </w:rPr>
        <w:t>4</w:t>
      </w:r>
      <w:r>
        <w:rPr>
          <w:rFonts w:hint="eastAsia" w:ascii="宋体" w:hAnsi="宋体" w:eastAsia="宋体" w:cs="宋体"/>
          <w:b/>
          <w:bCs/>
          <w:kern w:val="0"/>
          <w:szCs w:val="21"/>
          <w:highlight w:val="none"/>
          <w:lang w:bidi="ar"/>
        </w:rPr>
        <w:t>.</w:t>
      </w:r>
      <w:r>
        <w:rPr>
          <w:b/>
          <w:bCs/>
          <w:kern w:val="0"/>
          <w:szCs w:val="21"/>
          <w:highlight w:val="none"/>
          <w:lang w:bidi="ar"/>
        </w:rPr>
        <w:t>4</w:t>
      </w:r>
      <w:r>
        <w:rPr>
          <w:rFonts w:hint="eastAsia" w:ascii="宋体" w:hAnsi="宋体" w:eastAsia="宋体" w:cs="宋体"/>
          <w:b/>
          <w:bCs/>
          <w:kern w:val="0"/>
          <w:szCs w:val="21"/>
          <w:highlight w:val="none"/>
          <w:lang w:bidi="ar"/>
        </w:rPr>
        <w:t>.</w:t>
      </w:r>
      <w:r>
        <w:rPr>
          <w:b/>
          <w:bCs/>
          <w:kern w:val="0"/>
          <w:szCs w:val="21"/>
          <w:highlight w:val="none"/>
          <w:lang w:bidi="ar"/>
        </w:rPr>
        <w:t>2</w:t>
      </w:r>
      <w:r>
        <w:rPr>
          <w:bCs/>
          <w:kern w:val="0"/>
          <w:szCs w:val="21"/>
          <w:highlight w:val="none"/>
          <w:lang w:bidi="ar"/>
        </w:rPr>
        <w:t xml:space="preserve"> </w:t>
      </w:r>
      <w:r>
        <w:rPr>
          <w:rFonts w:hint="eastAsia"/>
          <w:bCs/>
          <w:kern w:val="0"/>
          <w:szCs w:val="21"/>
          <w:highlight w:val="none"/>
          <w:lang w:val="en-US" w:eastAsia="zh-CN" w:bidi="ar"/>
        </w:rPr>
        <w:t xml:space="preserve"> </w:t>
      </w:r>
      <w:r>
        <w:rPr>
          <w:rFonts w:hint="eastAsia" w:cs="宋体"/>
          <w:szCs w:val="36"/>
          <w:highlight w:val="none"/>
          <w:lang w:bidi="ar"/>
        </w:rPr>
        <w:t>吊运用金属预埋吊件，应符合国家现行标准《混凝土结构设计规范》GB 50010、《预制混凝土构件用金属预埋吊件》T/CCES</w:t>
      </w:r>
      <w:r>
        <w:rPr>
          <w:rFonts w:hint="eastAsia" w:cs="宋体"/>
          <w:szCs w:val="36"/>
          <w:highlight w:val="none"/>
          <w:lang w:val="en-US" w:eastAsia="zh-CN" w:bidi="ar"/>
        </w:rPr>
        <w:t xml:space="preserve"> </w:t>
      </w:r>
      <w:r>
        <w:rPr>
          <w:rFonts w:hint="eastAsia" w:cs="宋体"/>
          <w:szCs w:val="36"/>
          <w:highlight w:val="none"/>
          <w:lang w:bidi="ar"/>
        </w:rPr>
        <w:t>6003的有关规定，强调应满足抗拉拔性能要求，预埋吊件所能承受的最大拉力值不应小于允许起吊荷载值的4倍。</w:t>
      </w:r>
    </w:p>
    <w:p>
      <w:pPr>
        <w:spacing w:line="240" w:lineRule="auto"/>
        <w:rPr>
          <w:rFonts w:hint="eastAsia" w:cs="宋体"/>
          <w:szCs w:val="36"/>
          <w:highlight w:val="none"/>
          <w:lang w:bidi="ar"/>
        </w:rPr>
      </w:pP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 xml:space="preserve">3 </w:t>
      </w:r>
      <w:r>
        <w:rPr>
          <w:rFonts w:hint="eastAsia"/>
          <w:b/>
          <w:szCs w:val="36"/>
          <w:highlight w:val="none"/>
          <w:lang w:val="en-US" w:eastAsia="zh-CN" w:bidi="ar"/>
        </w:rPr>
        <w:t xml:space="preserve"> </w:t>
      </w:r>
      <w:r>
        <w:rPr>
          <w:rFonts w:hint="eastAsia" w:cs="宋体"/>
          <w:szCs w:val="36"/>
          <w:highlight w:val="none"/>
          <w:lang w:bidi="ar"/>
        </w:rPr>
        <w:t>列举了预埋钢板的使用技术参数，便于验收。</w:t>
      </w:r>
    </w:p>
    <w:p>
      <w:pPr>
        <w:spacing w:line="240" w:lineRule="auto"/>
        <w:rPr>
          <w:rFonts w:hint="eastAsia" w:cs="宋体"/>
          <w:szCs w:val="36"/>
          <w:highlight w:val="none"/>
          <w:lang w:bidi="ar"/>
        </w:rPr>
      </w:pP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6</w:t>
      </w:r>
      <w:r>
        <w:rPr>
          <w:szCs w:val="36"/>
          <w:highlight w:val="none"/>
          <w:lang w:bidi="ar"/>
        </w:rPr>
        <w:t xml:space="preserve"> </w:t>
      </w:r>
      <w:r>
        <w:rPr>
          <w:rFonts w:hint="eastAsia"/>
          <w:szCs w:val="36"/>
          <w:highlight w:val="none"/>
          <w:lang w:val="en-US" w:eastAsia="zh-CN" w:bidi="ar"/>
        </w:rPr>
        <w:t xml:space="preserve"> </w:t>
      </w:r>
      <w:r>
        <w:rPr>
          <w:rFonts w:hint="eastAsia" w:cs="宋体"/>
          <w:szCs w:val="36"/>
          <w:highlight w:val="none"/>
          <w:lang w:bidi="ar"/>
        </w:rPr>
        <w:t>列举了预埋钢副框应满足的规范要求，便于验收。</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rFonts w:hint="eastAsia" w:ascii="黑体" w:hAnsi="黑体" w:eastAsia="黑体" w:cs="黑体"/>
          <w:b w:val="0"/>
          <w:bCs/>
          <w:szCs w:val="21"/>
          <w:highlight w:val="none"/>
          <w:lang w:val="en-US" w:eastAsia="zh-CN" w:bidi="ar"/>
        </w:rPr>
      </w:pPr>
      <w:bookmarkStart w:id="560" w:name="_Toc117169909"/>
      <w:bookmarkStart w:id="561" w:name="_Toc116583458"/>
      <w:bookmarkStart w:id="562" w:name="_Toc154586218"/>
      <w:bookmarkStart w:id="563" w:name="_Toc19420"/>
      <w:bookmarkStart w:id="564" w:name="_Toc154584894"/>
      <w:bookmarkStart w:id="565" w:name="_Toc31086"/>
      <w:bookmarkStart w:id="566" w:name="_Toc143006977"/>
      <w:bookmarkStart w:id="567" w:name="_Toc154586940"/>
      <w:bookmarkStart w:id="568" w:name="_Toc116581524"/>
      <w:bookmarkStart w:id="569" w:name="_Toc153206005"/>
      <w:bookmarkStart w:id="570" w:name="_Toc1050"/>
      <w:r>
        <w:rPr>
          <w:b/>
          <w:szCs w:val="21"/>
          <w:highlight w:val="none"/>
          <w:lang w:bidi="ar"/>
        </w:rPr>
        <w:t>4</w:t>
      </w:r>
      <w:r>
        <w:rPr>
          <w:rFonts w:hint="eastAsia" w:ascii="宋体" w:hAnsi="宋体" w:eastAsia="宋体" w:cs="宋体"/>
          <w:b/>
          <w:szCs w:val="21"/>
          <w:highlight w:val="none"/>
          <w:lang w:bidi="ar"/>
        </w:rPr>
        <w:t>.</w:t>
      </w:r>
      <w:r>
        <w:rPr>
          <w:b/>
          <w:szCs w:val="21"/>
          <w:highlight w:val="none"/>
          <w:lang w:bidi="ar"/>
        </w:rPr>
        <w:t>5</w:t>
      </w:r>
      <w:r>
        <w:rPr>
          <w:rFonts w:hint="eastAsia" w:ascii="黑体" w:hAnsi="黑体" w:eastAsia="黑体" w:cs="黑体"/>
          <w:b w:val="0"/>
          <w:bCs/>
          <w:szCs w:val="21"/>
          <w:highlight w:val="none"/>
          <w:lang w:val="en-US" w:eastAsia="zh-CN" w:bidi="ar"/>
        </w:rPr>
        <w:t xml:space="preserve">  预应力材料</w:t>
      </w:r>
      <w:bookmarkEnd w:id="560"/>
      <w:bookmarkEnd w:id="561"/>
      <w:bookmarkEnd w:id="562"/>
      <w:bookmarkEnd w:id="563"/>
      <w:bookmarkEnd w:id="564"/>
      <w:bookmarkEnd w:id="565"/>
      <w:bookmarkEnd w:id="566"/>
      <w:bookmarkEnd w:id="567"/>
      <w:bookmarkEnd w:id="568"/>
      <w:bookmarkEnd w:id="569"/>
      <w:bookmarkEnd w:id="570"/>
    </w:p>
    <w:p>
      <w:pPr>
        <w:spacing w:line="240" w:lineRule="auto"/>
        <w:rPr>
          <w:rFonts w:hint="eastAsia" w:cs="宋体"/>
          <w:szCs w:val="36"/>
          <w:highlight w:val="none"/>
          <w:lang w:bidi="ar"/>
        </w:rPr>
      </w:pP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5</w:t>
      </w:r>
      <w:r>
        <w:rPr>
          <w:rFonts w:hint="eastAsia" w:ascii="宋体" w:hAnsi="宋体" w:eastAsia="宋体" w:cs="宋体"/>
          <w:b/>
          <w:bCs/>
          <w:kern w:val="0"/>
          <w:szCs w:val="21"/>
          <w:highlight w:val="none"/>
          <w:lang w:bidi="ar"/>
        </w:rPr>
        <w:t>.</w:t>
      </w:r>
      <w:r>
        <w:rPr>
          <w:b/>
          <w:szCs w:val="36"/>
          <w:highlight w:val="none"/>
          <w:lang w:bidi="ar"/>
        </w:rPr>
        <w:t>1-4</w:t>
      </w:r>
      <w:r>
        <w:rPr>
          <w:rFonts w:hint="eastAsia" w:ascii="宋体" w:hAnsi="宋体" w:eastAsia="宋体" w:cs="宋体"/>
          <w:b/>
          <w:bCs/>
          <w:kern w:val="0"/>
          <w:szCs w:val="21"/>
          <w:highlight w:val="none"/>
          <w:lang w:bidi="ar"/>
        </w:rPr>
        <w:t>.</w:t>
      </w:r>
      <w:r>
        <w:rPr>
          <w:b/>
          <w:szCs w:val="36"/>
          <w:highlight w:val="none"/>
          <w:lang w:bidi="ar"/>
        </w:rPr>
        <w:t>5</w:t>
      </w:r>
      <w:r>
        <w:rPr>
          <w:rFonts w:hint="eastAsia" w:ascii="宋体" w:hAnsi="宋体" w:eastAsia="宋体" w:cs="宋体"/>
          <w:b/>
          <w:bCs/>
          <w:kern w:val="0"/>
          <w:szCs w:val="21"/>
          <w:highlight w:val="none"/>
          <w:lang w:bidi="ar"/>
        </w:rPr>
        <w:t>.</w:t>
      </w:r>
      <w:r>
        <w:rPr>
          <w:b/>
          <w:szCs w:val="36"/>
          <w:highlight w:val="none"/>
          <w:lang w:bidi="ar"/>
        </w:rPr>
        <w:t xml:space="preserve">2 </w:t>
      </w:r>
      <w:r>
        <w:rPr>
          <w:rFonts w:hint="eastAsia"/>
          <w:b/>
          <w:szCs w:val="36"/>
          <w:highlight w:val="none"/>
          <w:lang w:val="en-US" w:eastAsia="zh-CN" w:bidi="ar"/>
        </w:rPr>
        <w:t xml:space="preserve"> </w:t>
      </w:r>
      <w:r>
        <w:rPr>
          <w:rFonts w:hint="eastAsia" w:cs="宋体"/>
          <w:szCs w:val="36"/>
          <w:highlight w:val="none"/>
          <w:lang w:bidi="ar"/>
        </w:rPr>
        <w:t>列举了预应力筋的主要技术指标，便于验收。</w:t>
      </w:r>
    </w:p>
    <w:p>
      <w:pPr>
        <w:spacing w:line="240" w:lineRule="auto"/>
        <w:rPr>
          <w:rFonts w:hint="eastAsia" w:cs="宋体"/>
          <w:szCs w:val="36"/>
          <w:highlight w:val="none"/>
          <w:lang w:bidi="ar"/>
        </w:rPr>
      </w:pP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5</w:t>
      </w:r>
      <w:r>
        <w:rPr>
          <w:rFonts w:hint="eastAsia" w:ascii="宋体" w:hAnsi="宋体" w:eastAsia="宋体" w:cs="宋体"/>
          <w:b/>
          <w:bCs/>
          <w:kern w:val="0"/>
          <w:szCs w:val="21"/>
          <w:highlight w:val="none"/>
          <w:lang w:bidi="ar"/>
        </w:rPr>
        <w:t>.</w:t>
      </w:r>
      <w:r>
        <w:rPr>
          <w:b/>
          <w:szCs w:val="36"/>
          <w:highlight w:val="none"/>
          <w:lang w:bidi="ar"/>
        </w:rPr>
        <w:t xml:space="preserve">3 </w:t>
      </w:r>
      <w:r>
        <w:rPr>
          <w:rFonts w:hint="eastAsia"/>
          <w:b/>
          <w:szCs w:val="36"/>
          <w:highlight w:val="none"/>
          <w:lang w:val="en-US" w:eastAsia="zh-CN" w:bidi="ar"/>
        </w:rPr>
        <w:t xml:space="preserve"> </w:t>
      </w:r>
      <w:r>
        <w:rPr>
          <w:rFonts w:hint="eastAsia" w:cs="宋体"/>
          <w:szCs w:val="36"/>
          <w:highlight w:val="none"/>
          <w:lang w:bidi="ar"/>
        </w:rPr>
        <w:t>列举了预应力筋锚具、夹具和连接器的有关技术指标要求。</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rFonts w:hint="eastAsia" w:ascii="黑体" w:hAnsi="黑体" w:eastAsia="黑体" w:cs="黑体"/>
          <w:b w:val="0"/>
          <w:bCs/>
          <w:szCs w:val="21"/>
          <w:highlight w:val="none"/>
          <w:lang w:val="en-US" w:eastAsia="zh-CN" w:bidi="ar"/>
        </w:rPr>
      </w:pPr>
      <w:bookmarkStart w:id="571" w:name="_Toc154586941"/>
      <w:bookmarkStart w:id="572" w:name="_Toc27872"/>
      <w:bookmarkStart w:id="573" w:name="_Toc23446"/>
      <w:bookmarkStart w:id="574" w:name="_Toc116581525"/>
      <w:bookmarkStart w:id="575" w:name="_Toc153206006"/>
      <w:bookmarkStart w:id="576" w:name="_Toc117169910"/>
      <w:bookmarkStart w:id="577" w:name="_Toc154586219"/>
      <w:bookmarkStart w:id="578" w:name="_Toc13164"/>
      <w:bookmarkStart w:id="579" w:name="_Toc154584895"/>
      <w:bookmarkStart w:id="580" w:name="_Toc116583459"/>
      <w:bookmarkStart w:id="581" w:name="_Toc143006978"/>
      <w:r>
        <w:rPr>
          <w:b/>
          <w:szCs w:val="21"/>
          <w:highlight w:val="none"/>
          <w:lang w:bidi="ar"/>
        </w:rPr>
        <w:t>4</w:t>
      </w:r>
      <w:r>
        <w:rPr>
          <w:rFonts w:hint="eastAsia" w:ascii="宋体" w:hAnsi="宋体" w:eastAsia="宋体" w:cs="宋体"/>
          <w:b/>
          <w:szCs w:val="21"/>
          <w:highlight w:val="none"/>
          <w:lang w:bidi="ar"/>
        </w:rPr>
        <w:t>.</w:t>
      </w:r>
      <w:r>
        <w:rPr>
          <w:b/>
          <w:szCs w:val="21"/>
          <w:highlight w:val="none"/>
          <w:lang w:bidi="ar"/>
        </w:rPr>
        <w:t>6</w:t>
      </w:r>
      <w:r>
        <w:rPr>
          <w:rFonts w:hint="eastAsia" w:ascii="黑体" w:hAnsi="黑体" w:eastAsia="黑体" w:cs="黑体"/>
          <w:b w:val="0"/>
          <w:bCs/>
          <w:szCs w:val="21"/>
          <w:highlight w:val="none"/>
          <w:lang w:val="en-US" w:eastAsia="zh-CN" w:bidi="ar"/>
        </w:rPr>
        <w:t xml:space="preserve">  其他材料说明</w:t>
      </w:r>
      <w:bookmarkEnd w:id="571"/>
      <w:bookmarkEnd w:id="572"/>
      <w:bookmarkEnd w:id="573"/>
      <w:bookmarkEnd w:id="574"/>
      <w:bookmarkEnd w:id="575"/>
      <w:bookmarkEnd w:id="576"/>
      <w:bookmarkEnd w:id="577"/>
      <w:bookmarkEnd w:id="578"/>
      <w:bookmarkEnd w:id="579"/>
      <w:bookmarkEnd w:id="580"/>
      <w:bookmarkEnd w:id="581"/>
    </w:p>
    <w:p>
      <w:pPr>
        <w:spacing w:line="240" w:lineRule="auto"/>
        <w:rPr>
          <w:rFonts w:hint="eastAsia" w:cs="宋体"/>
          <w:szCs w:val="36"/>
          <w:highlight w:val="none"/>
          <w:lang w:bidi="ar"/>
        </w:rPr>
      </w:pP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6</w:t>
      </w:r>
      <w:r>
        <w:rPr>
          <w:rFonts w:hint="eastAsia" w:ascii="宋体" w:hAnsi="宋体" w:eastAsia="宋体" w:cs="宋体"/>
          <w:b/>
          <w:bCs/>
          <w:kern w:val="0"/>
          <w:szCs w:val="21"/>
          <w:highlight w:val="none"/>
          <w:lang w:bidi="ar"/>
        </w:rPr>
        <w:t>.</w:t>
      </w:r>
      <w:r>
        <w:rPr>
          <w:b/>
          <w:szCs w:val="36"/>
          <w:highlight w:val="none"/>
          <w:lang w:bidi="ar"/>
        </w:rPr>
        <w:t>1-4</w:t>
      </w:r>
      <w:r>
        <w:rPr>
          <w:rFonts w:hint="eastAsia" w:ascii="宋体" w:hAnsi="宋体" w:eastAsia="宋体" w:cs="宋体"/>
          <w:b/>
          <w:bCs/>
          <w:kern w:val="0"/>
          <w:szCs w:val="21"/>
          <w:highlight w:val="none"/>
          <w:lang w:bidi="ar"/>
        </w:rPr>
        <w:t>.</w:t>
      </w:r>
      <w:r>
        <w:rPr>
          <w:b/>
          <w:szCs w:val="36"/>
          <w:highlight w:val="none"/>
          <w:lang w:bidi="ar"/>
        </w:rPr>
        <w:t>6</w:t>
      </w:r>
      <w:r>
        <w:rPr>
          <w:rFonts w:hint="eastAsia" w:ascii="宋体" w:hAnsi="宋体" w:eastAsia="宋体" w:cs="宋体"/>
          <w:b/>
          <w:bCs/>
          <w:kern w:val="0"/>
          <w:szCs w:val="21"/>
          <w:highlight w:val="none"/>
          <w:lang w:bidi="ar"/>
        </w:rPr>
        <w:t>.</w:t>
      </w:r>
      <w:r>
        <w:rPr>
          <w:b/>
          <w:szCs w:val="36"/>
          <w:highlight w:val="none"/>
          <w:lang w:bidi="ar"/>
        </w:rPr>
        <w:t xml:space="preserve">3 </w:t>
      </w:r>
      <w:r>
        <w:rPr>
          <w:rFonts w:hint="eastAsia"/>
          <w:b/>
          <w:szCs w:val="36"/>
          <w:highlight w:val="none"/>
          <w:lang w:val="en-US" w:eastAsia="zh-CN" w:bidi="ar"/>
        </w:rPr>
        <w:t xml:space="preserve"> </w:t>
      </w:r>
      <w:r>
        <w:rPr>
          <w:rFonts w:hint="eastAsia" w:cs="宋体"/>
          <w:szCs w:val="36"/>
          <w:highlight w:val="none"/>
          <w:lang w:bidi="ar"/>
        </w:rPr>
        <w:t>规定保温材料的技术要求，南方地区目前应用较少，主要用于构件减重。</w:t>
      </w:r>
    </w:p>
    <w:p>
      <w:pPr>
        <w:spacing w:line="240" w:lineRule="auto"/>
        <w:rPr>
          <w:rFonts w:hint="eastAsia" w:cs="宋体"/>
          <w:szCs w:val="36"/>
          <w:highlight w:val="none"/>
          <w:lang w:bidi="ar"/>
        </w:rPr>
      </w:pPr>
      <w:r>
        <w:rPr>
          <w:b/>
          <w:szCs w:val="36"/>
          <w:highlight w:val="none"/>
          <w:lang w:bidi="ar"/>
        </w:rPr>
        <w:t>4</w:t>
      </w:r>
      <w:r>
        <w:rPr>
          <w:rFonts w:hint="eastAsia" w:ascii="宋体" w:hAnsi="宋体" w:eastAsia="宋体" w:cs="宋体"/>
          <w:b/>
          <w:bCs/>
          <w:kern w:val="0"/>
          <w:szCs w:val="21"/>
          <w:highlight w:val="none"/>
          <w:lang w:bidi="ar"/>
        </w:rPr>
        <w:t>.</w:t>
      </w:r>
      <w:r>
        <w:rPr>
          <w:b/>
          <w:szCs w:val="36"/>
          <w:highlight w:val="none"/>
          <w:lang w:bidi="ar"/>
        </w:rPr>
        <w:t>6</w:t>
      </w:r>
      <w:r>
        <w:rPr>
          <w:rFonts w:hint="eastAsia" w:ascii="宋体" w:hAnsi="宋体" w:eastAsia="宋体" w:cs="宋体"/>
          <w:b/>
          <w:bCs/>
          <w:kern w:val="0"/>
          <w:szCs w:val="21"/>
          <w:highlight w:val="none"/>
          <w:lang w:bidi="ar"/>
        </w:rPr>
        <w:t>.</w:t>
      </w:r>
      <w:r>
        <w:rPr>
          <w:b/>
          <w:szCs w:val="36"/>
          <w:highlight w:val="none"/>
          <w:lang w:bidi="ar"/>
        </w:rPr>
        <w:t xml:space="preserve">4 </w:t>
      </w:r>
      <w:r>
        <w:rPr>
          <w:rFonts w:hint="eastAsia"/>
          <w:b/>
          <w:szCs w:val="36"/>
          <w:highlight w:val="none"/>
          <w:lang w:val="en-US" w:eastAsia="zh-CN" w:bidi="ar"/>
        </w:rPr>
        <w:t xml:space="preserve"> </w:t>
      </w:r>
      <w:r>
        <w:rPr>
          <w:rFonts w:hint="eastAsia" w:cs="宋体"/>
          <w:szCs w:val="36"/>
          <w:highlight w:val="none"/>
          <w:lang w:bidi="ar"/>
        </w:rPr>
        <w:t>脱模剂的性能对构件质量，尤其是外观质量有较大影响，目前已有相关行业标准《混凝土制品用脱模剂》JC/T</w:t>
      </w:r>
      <w:r>
        <w:rPr>
          <w:rFonts w:hint="eastAsia" w:cs="宋体"/>
          <w:szCs w:val="36"/>
          <w:highlight w:val="none"/>
          <w:lang w:val="en-US" w:eastAsia="zh-CN" w:bidi="ar"/>
        </w:rPr>
        <w:t xml:space="preserve"> </w:t>
      </w:r>
      <w:r>
        <w:rPr>
          <w:rFonts w:hint="eastAsia" w:cs="宋体"/>
          <w:szCs w:val="36"/>
          <w:highlight w:val="none"/>
          <w:lang w:bidi="ar"/>
        </w:rPr>
        <w:t>949，应重视予以严格执行。</w:t>
      </w:r>
    </w:p>
    <w:p>
      <w:pPr>
        <w:spacing w:line="240" w:lineRule="auto"/>
        <w:rPr>
          <w:highlight w:val="none"/>
        </w:rPr>
      </w:pPr>
      <w:r>
        <w:rPr>
          <w:highlight w:val="none"/>
        </w:rPr>
        <w:br w:type="page"/>
      </w:r>
    </w:p>
    <w:p>
      <w:pPr>
        <w:keepNext/>
        <w:keepLines/>
        <w:spacing w:before="360" w:after="360" w:line="240" w:lineRule="auto"/>
        <w:jc w:val="center"/>
        <w:outlineLvl w:val="9"/>
        <w:rPr>
          <w:rStyle w:val="23"/>
          <w:rFonts w:hint="eastAsia" w:ascii="宋体" w:hAnsi="宋体" w:eastAsia="宋体"/>
          <w:b w:val="0"/>
          <w:bCs w:val="0"/>
          <w:sz w:val="28"/>
          <w:szCs w:val="28"/>
          <w:highlight w:val="none"/>
        </w:rPr>
      </w:pPr>
      <w:bookmarkStart w:id="582" w:name="_Toc154584896"/>
      <w:bookmarkStart w:id="583" w:name="_Toc154586220"/>
      <w:bookmarkStart w:id="584" w:name="_Toc32505"/>
      <w:bookmarkStart w:id="585" w:name="_Toc143006979"/>
      <w:bookmarkStart w:id="586" w:name="_Toc24903"/>
      <w:bookmarkStart w:id="587" w:name="_Toc12927"/>
      <w:bookmarkStart w:id="588" w:name="_Toc153206007"/>
      <w:bookmarkStart w:id="589" w:name="_Toc154586942"/>
      <w:r>
        <w:rPr>
          <w:rStyle w:val="23"/>
          <w:rFonts w:hint="eastAsia" w:ascii="Times New Roman" w:hAnsi="Times New Roman" w:eastAsia="宋体" w:cs="Times New Roman"/>
          <w:b/>
          <w:bCs/>
          <w:sz w:val="28"/>
          <w:szCs w:val="28"/>
          <w:highlight w:val="none"/>
        </w:rPr>
        <mc:AlternateContent>
          <mc:Choice Requires="wps">
            <w:drawing>
              <wp:anchor distT="0" distB="0" distL="114300" distR="114300" simplePos="0" relativeHeight="251670528" behindDoc="0" locked="0" layoutInCell="1" allowOverlap="1">
                <wp:simplePos x="0" y="0"/>
                <wp:positionH relativeFrom="column">
                  <wp:posOffset>-777875</wp:posOffset>
                </wp:positionH>
                <wp:positionV relativeFrom="paragraph">
                  <wp:posOffset>-849630</wp:posOffset>
                </wp:positionV>
                <wp:extent cx="0" cy="635"/>
                <wp:effectExtent l="38100" t="75565" r="38100" b="0"/>
                <wp:wrapNone/>
                <wp:docPr id="15" name="自选图形 70"/>
                <wp:cNvGraphicFramePr/>
                <a:graphic xmlns:a="http://schemas.openxmlformats.org/drawingml/2006/main">
                  <a:graphicData uri="http://schemas.microsoft.com/office/word/2010/wordprocessingShape">
                    <wps:wsp>
                      <wps:cNvCnPr>
                        <a:cxnSpLocks noChangeShapeType="true"/>
                      </wps:cNvCnPr>
                      <wps:spPr bwMode="auto">
                        <a:xfrm>
                          <a:off x="0" y="0"/>
                          <a:ext cx="0" cy="450"/>
                        </a:xfrm>
                        <a:prstGeom prst="straightConnector1">
                          <a:avLst/>
                        </a:prstGeom>
                        <a:noFill/>
                        <a:ln w="12700">
                          <a:solidFill>
                            <a:srgbClr val="000000"/>
                          </a:solidFill>
                          <a:round/>
                          <a:tailEnd type="triangle" w="med" len="med"/>
                        </a:ln>
                      </wps:spPr>
                      <wps:bodyPr/>
                    </wps:wsp>
                  </a:graphicData>
                </a:graphic>
              </wp:anchor>
            </w:drawing>
          </mc:Choice>
          <mc:Fallback>
            <w:pict>
              <v:shape id="自选图形 70" o:spid="_x0000_s1026" o:spt="32" type="#_x0000_t32" style="position:absolute;left:0pt;margin-left:-61.25pt;margin-top:-66.9pt;height:0.05pt;width:0pt;z-index:251670528;mso-width-relative:page;mso-height-relative:page;" filled="f" stroked="t" coordsize="21600,21600" o:gfxdata="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ic+TXAAAADwEAAA8AAAAAAAAAAQAgAAAAOAAAAGRycy9kb3du&#10;cmV2LnhtbFBLAQIUABQAAAAIAIdO4kAqoBfp6gEAAJcDAAAOAAAAAAAAAAEAIAAAADwBAABkcnMv&#10;ZTJvRG9jLnhtbFBLBQYAAAAABgAGAFkBAACYBQAAAAA=&#10;">
                <v:fill on="f" focussize="0,0"/>
                <v:stroke weight="1pt" color="#000000" joinstyle="round" endarrow="block"/>
                <v:imagedata o:title=""/>
                <o:lock v:ext="edit" aspectratio="f"/>
              </v:shape>
            </w:pict>
          </mc:Fallback>
        </mc:AlternateContent>
      </w:r>
      <w:r>
        <w:rPr>
          <w:rStyle w:val="23"/>
          <w:rFonts w:hint="eastAsia" w:ascii="Times New Roman" w:hAnsi="Times New Roman" w:eastAsia="宋体" w:cs="Times New Roman"/>
          <w:b/>
          <w:bCs/>
          <w:sz w:val="28"/>
          <w:szCs w:val="28"/>
          <w:highlight w:val="none"/>
        </w:rPr>
        <w:t>6</w:t>
      </w:r>
      <w:r>
        <w:rPr>
          <w:rStyle w:val="23"/>
          <w:rFonts w:hint="eastAsia" w:ascii="宋体" w:hAnsi="宋体" w:eastAsia="宋体"/>
          <w:b w:val="0"/>
          <w:bCs w:val="0"/>
          <w:sz w:val="28"/>
          <w:szCs w:val="28"/>
          <w:highlight w:val="none"/>
        </w:rPr>
        <w:t xml:space="preserve">  生</w:t>
      </w:r>
      <w:r>
        <w:rPr>
          <w:rStyle w:val="23"/>
          <w:rFonts w:hint="eastAsia" w:ascii="宋体" w:hAnsi="宋体"/>
          <w:b w:val="0"/>
          <w:bCs w:val="0"/>
          <w:sz w:val="28"/>
          <w:szCs w:val="28"/>
          <w:highlight w:val="none"/>
          <w:lang w:val="en-US" w:eastAsia="zh-CN"/>
        </w:rPr>
        <w:t xml:space="preserve">    </w:t>
      </w:r>
      <w:r>
        <w:rPr>
          <w:rStyle w:val="23"/>
          <w:rFonts w:hint="eastAsia" w:ascii="宋体" w:hAnsi="宋体" w:eastAsia="宋体"/>
          <w:b w:val="0"/>
          <w:bCs w:val="0"/>
          <w:sz w:val="28"/>
          <w:szCs w:val="28"/>
          <w:highlight w:val="none"/>
        </w:rPr>
        <w:t>产</w:t>
      </w:r>
      <w:bookmarkEnd w:id="582"/>
      <w:bookmarkEnd w:id="583"/>
      <w:bookmarkEnd w:id="584"/>
      <w:bookmarkEnd w:id="585"/>
      <w:bookmarkEnd w:id="586"/>
      <w:bookmarkEnd w:id="587"/>
      <w:bookmarkEnd w:id="588"/>
      <w:bookmarkEnd w:id="589"/>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rPr>
      </w:pPr>
      <w:bookmarkStart w:id="590" w:name="_Toc117169912"/>
      <w:bookmarkStart w:id="591" w:name="_Toc2141"/>
      <w:bookmarkStart w:id="592" w:name="_Toc154586221"/>
      <w:bookmarkStart w:id="593" w:name="_Toc153206008"/>
      <w:bookmarkStart w:id="594" w:name="_Toc154586943"/>
      <w:bookmarkStart w:id="595" w:name="_Toc25937"/>
      <w:bookmarkStart w:id="596" w:name="_Toc116583461"/>
      <w:bookmarkStart w:id="597" w:name="_Toc3653"/>
      <w:bookmarkStart w:id="598" w:name="_Toc114470667"/>
      <w:bookmarkStart w:id="599" w:name="_Toc154584897"/>
      <w:bookmarkStart w:id="600" w:name="_Toc116581527"/>
      <w:bookmarkStart w:id="601" w:name="_Toc143006980"/>
      <w:r>
        <w:rPr>
          <w:rFonts w:hint="eastAsia"/>
          <w:b/>
          <w:szCs w:val="21"/>
          <w:highlight w:val="none"/>
        </w:rPr>
        <w:t>6</w:t>
      </w:r>
      <w:r>
        <w:rPr>
          <w:rFonts w:hint="eastAsia" w:ascii="宋体" w:hAnsi="宋体" w:eastAsia="宋体" w:cs="宋体"/>
          <w:b/>
          <w:szCs w:val="21"/>
          <w:highlight w:val="none"/>
        </w:rPr>
        <w:t>.</w:t>
      </w:r>
      <w:r>
        <w:rPr>
          <w:b/>
          <w:szCs w:val="21"/>
          <w:highlight w:val="none"/>
        </w:rPr>
        <w:t>1</w:t>
      </w:r>
      <w:r>
        <w:rPr>
          <w:rFonts w:hint="eastAsia" w:ascii="黑体" w:hAnsi="黑体" w:eastAsia="黑体" w:cs="黑体"/>
          <w:b w:val="0"/>
          <w:bCs/>
          <w:szCs w:val="21"/>
          <w:highlight w:val="none"/>
          <w:lang w:val="en-US" w:eastAsia="zh-CN" w:bidi="ar"/>
        </w:rPr>
        <w:t xml:space="preserve">  一 般 规 定</w:t>
      </w:r>
      <w:bookmarkEnd w:id="590"/>
      <w:bookmarkEnd w:id="591"/>
      <w:bookmarkEnd w:id="592"/>
      <w:bookmarkEnd w:id="593"/>
      <w:bookmarkEnd w:id="594"/>
      <w:bookmarkEnd w:id="595"/>
      <w:bookmarkEnd w:id="596"/>
      <w:bookmarkEnd w:id="597"/>
      <w:bookmarkEnd w:id="598"/>
      <w:bookmarkEnd w:id="599"/>
      <w:bookmarkEnd w:id="600"/>
      <w:bookmarkEnd w:id="601"/>
    </w:p>
    <w:p>
      <w:pPr>
        <w:spacing w:line="240" w:lineRule="auto"/>
        <w:rPr>
          <w:rFonts w:hint="eastAsia"/>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1</w:t>
      </w:r>
      <w:r>
        <w:rPr>
          <w:rFonts w:hint="eastAsia" w:ascii="宋体" w:hAnsi="宋体" w:eastAsia="宋体" w:cs="宋体"/>
          <w:b/>
          <w:szCs w:val="21"/>
          <w:highlight w:val="none"/>
        </w:rPr>
        <w:t>.</w:t>
      </w:r>
      <w:r>
        <w:rPr>
          <w:b/>
          <w:szCs w:val="21"/>
          <w:highlight w:val="none"/>
        </w:rPr>
        <w:t>2</w:t>
      </w:r>
      <w:r>
        <w:rPr>
          <w:rFonts w:hint="eastAsia"/>
          <w:b/>
          <w:szCs w:val="21"/>
          <w:highlight w:val="none"/>
        </w:rPr>
        <w:t xml:space="preserve"> </w:t>
      </w:r>
      <w:r>
        <w:rPr>
          <w:rFonts w:hint="eastAsia"/>
          <w:b/>
          <w:szCs w:val="21"/>
          <w:highlight w:val="none"/>
          <w:lang w:val="en-US" w:eastAsia="zh-CN"/>
        </w:rPr>
        <w:t xml:space="preserve"> </w:t>
      </w:r>
      <w:r>
        <w:rPr>
          <w:rFonts w:hint="eastAsia"/>
          <w:szCs w:val="21"/>
          <w:highlight w:val="none"/>
        </w:rPr>
        <w:t>预制混凝土构件的生产必须依据设计图纸进行。一些造型奇特、难度较高的构件，可根据其形状、构造等特点编制专项生产方案，制订相应的工艺流程，明确其质量控制点。生产前的图纸工艺性审查十分重要，当发现设计无法满足工艺需求时，应尽早提出图纸修改建议并由原设计单位进行确认。</w:t>
      </w:r>
    </w:p>
    <w:p>
      <w:pPr>
        <w:spacing w:line="240" w:lineRule="auto"/>
        <w:rPr>
          <w:rFonts w:hint="eastAsia"/>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1</w:t>
      </w:r>
      <w:r>
        <w:rPr>
          <w:rFonts w:hint="eastAsia" w:ascii="宋体" w:hAnsi="宋体" w:eastAsia="宋体" w:cs="宋体"/>
          <w:b/>
          <w:szCs w:val="21"/>
          <w:highlight w:val="none"/>
        </w:rPr>
        <w:t>.</w:t>
      </w:r>
      <w:r>
        <w:rPr>
          <w:b/>
          <w:szCs w:val="21"/>
          <w:highlight w:val="none"/>
        </w:rPr>
        <w:t xml:space="preserve">3 </w:t>
      </w:r>
      <w:r>
        <w:rPr>
          <w:rFonts w:hint="eastAsia"/>
          <w:b/>
          <w:szCs w:val="21"/>
          <w:highlight w:val="none"/>
          <w:lang w:val="en-US" w:eastAsia="zh-CN"/>
        </w:rPr>
        <w:t xml:space="preserve"> </w:t>
      </w:r>
      <w:r>
        <w:rPr>
          <w:rFonts w:hint="eastAsia"/>
          <w:szCs w:val="21"/>
          <w:highlight w:val="none"/>
        </w:rPr>
        <w:t>预制混凝土构件生产从模具制作、钢筋绑扎、预埋件定位到混凝土浇筑振捣、养护、脱模等每个环节都需要进行严格的工艺把控。只有明确各项检验指标、按指标要求生产，才能最大程度生产出高质量，高标准的产品。</w:t>
      </w:r>
    </w:p>
    <w:p>
      <w:pPr>
        <w:spacing w:line="240" w:lineRule="auto"/>
        <w:rPr>
          <w:rFonts w:hint="eastAsia"/>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1</w:t>
      </w:r>
      <w:r>
        <w:rPr>
          <w:rFonts w:hint="eastAsia" w:ascii="宋体" w:hAnsi="宋体" w:eastAsia="宋体" w:cs="宋体"/>
          <w:b/>
          <w:szCs w:val="21"/>
          <w:highlight w:val="none"/>
        </w:rPr>
        <w:t>.</w:t>
      </w:r>
      <w:r>
        <w:rPr>
          <w:b/>
          <w:szCs w:val="21"/>
          <w:highlight w:val="none"/>
        </w:rPr>
        <w:t xml:space="preserve">4 </w:t>
      </w:r>
      <w:r>
        <w:rPr>
          <w:rFonts w:hint="eastAsia"/>
          <w:b/>
          <w:szCs w:val="21"/>
          <w:highlight w:val="none"/>
          <w:lang w:val="en-US" w:eastAsia="zh-CN"/>
        </w:rPr>
        <w:t xml:space="preserve"> </w:t>
      </w:r>
      <w:r>
        <w:rPr>
          <w:rFonts w:hint="eastAsia"/>
          <w:szCs w:val="21"/>
          <w:highlight w:val="none"/>
        </w:rPr>
        <w:t>首件验收制度是指以项目为单位，针对结构较复杂的预制混凝土构件或新型构件首次生产或间隔较长时间重新生产时，构件生产单位需会同建设单位、设计单位、施工单位、监理单位共同进行首件验收，重点检查模具、构件、预埋件、混凝土浇筑成型中存在的问题，确认该批预制混凝土构件生产工艺是否合理，质量是否得到保障，共同验收合格之后方可批量生产。</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lang w:bidi="ar"/>
        </w:rPr>
      </w:pPr>
      <w:bookmarkStart w:id="602" w:name="_Toc24294"/>
      <w:bookmarkStart w:id="603" w:name="_Toc143006981"/>
      <w:bookmarkStart w:id="604" w:name="_Toc30480"/>
      <w:bookmarkStart w:id="605" w:name="_Toc30358"/>
      <w:bookmarkStart w:id="606" w:name="_Toc116581528"/>
      <w:bookmarkStart w:id="607" w:name="_Toc117169913"/>
      <w:bookmarkStart w:id="608" w:name="_Toc114470668"/>
      <w:bookmarkStart w:id="609" w:name="_Toc154586944"/>
      <w:bookmarkStart w:id="610" w:name="_Toc116583462"/>
      <w:bookmarkStart w:id="611" w:name="_Toc154586222"/>
      <w:bookmarkStart w:id="612" w:name="_Toc154584898"/>
      <w:bookmarkStart w:id="613" w:name="_Toc153206009"/>
      <w:r>
        <w:rPr>
          <w:rFonts w:hint="eastAsia"/>
          <w:b/>
          <w:szCs w:val="21"/>
          <w:highlight w:val="none"/>
          <w:lang w:bidi="ar"/>
        </w:rPr>
        <w:t>6</w:t>
      </w:r>
      <w:r>
        <w:rPr>
          <w:rFonts w:hint="eastAsia" w:ascii="宋体" w:hAnsi="宋体" w:eastAsia="宋体" w:cs="宋体"/>
          <w:b/>
          <w:szCs w:val="21"/>
          <w:highlight w:val="none"/>
          <w:lang w:bidi="ar"/>
        </w:rPr>
        <w:t>.</w:t>
      </w:r>
      <w:r>
        <w:rPr>
          <w:b/>
          <w:szCs w:val="21"/>
          <w:highlight w:val="none"/>
          <w:lang w:bidi="ar"/>
        </w:rPr>
        <w:t>2</w:t>
      </w:r>
      <w:r>
        <w:rPr>
          <w:rFonts w:hint="eastAsia" w:ascii="黑体" w:hAnsi="黑体" w:eastAsia="黑体" w:cs="黑体"/>
          <w:b w:val="0"/>
          <w:bCs/>
          <w:szCs w:val="21"/>
          <w:highlight w:val="none"/>
          <w:lang w:val="en-US" w:eastAsia="zh-CN" w:bidi="ar"/>
        </w:rPr>
        <w:t xml:space="preserve">  生产前准备</w:t>
      </w:r>
      <w:bookmarkEnd w:id="602"/>
      <w:bookmarkEnd w:id="603"/>
      <w:bookmarkEnd w:id="604"/>
      <w:bookmarkEnd w:id="605"/>
      <w:bookmarkEnd w:id="606"/>
      <w:bookmarkEnd w:id="607"/>
      <w:bookmarkEnd w:id="608"/>
      <w:bookmarkEnd w:id="609"/>
      <w:bookmarkEnd w:id="610"/>
      <w:bookmarkEnd w:id="611"/>
      <w:bookmarkEnd w:id="612"/>
      <w:bookmarkEnd w:id="613"/>
    </w:p>
    <w:p>
      <w:pPr>
        <w:spacing w:line="240" w:lineRule="auto"/>
        <w:rPr>
          <w:rFonts w:hint="eastAsia" w:eastAsia="宋体"/>
          <w:b/>
          <w:szCs w:val="21"/>
          <w:highlight w:val="none"/>
          <w:lang w:eastAsia="zh-CN"/>
        </w:rPr>
      </w:pPr>
      <w:r>
        <w:rPr>
          <w:rFonts w:hint="eastAsia"/>
          <w:b/>
          <w:szCs w:val="21"/>
          <w:highlight w:val="none"/>
        </w:rPr>
        <w:t>6</w:t>
      </w:r>
      <w:r>
        <w:rPr>
          <w:rFonts w:hint="eastAsia" w:ascii="宋体" w:hAnsi="宋体" w:eastAsia="宋体" w:cs="宋体"/>
          <w:b/>
          <w:szCs w:val="21"/>
          <w:highlight w:val="none"/>
        </w:rPr>
        <w:t>.</w:t>
      </w:r>
      <w:r>
        <w:rPr>
          <w:rFonts w:hint="eastAsia"/>
          <w:b/>
          <w:szCs w:val="21"/>
          <w:highlight w:val="none"/>
        </w:rPr>
        <w:t>2</w:t>
      </w:r>
      <w:r>
        <w:rPr>
          <w:rFonts w:hint="eastAsia" w:ascii="宋体" w:hAnsi="宋体" w:eastAsia="宋体" w:cs="宋体"/>
          <w:b/>
          <w:szCs w:val="21"/>
          <w:highlight w:val="none"/>
        </w:rPr>
        <w:t>.</w:t>
      </w:r>
      <w:r>
        <w:rPr>
          <w:b/>
          <w:szCs w:val="21"/>
          <w:highlight w:val="none"/>
        </w:rPr>
        <w:t xml:space="preserve">1 </w:t>
      </w:r>
      <w:r>
        <w:rPr>
          <w:rFonts w:hint="eastAsia"/>
          <w:b/>
          <w:szCs w:val="21"/>
          <w:highlight w:val="none"/>
          <w:lang w:val="en-US" w:eastAsia="zh-CN"/>
        </w:rPr>
        <w:t xml:space="preserve"> </w:t>
      </w:r>
      <w:r>
        <w:rPr>
          <w:szCs w:val="21"/>
          <w:highlight w:val="none"/>
        </w:rPr>
        <w:t>构件制作图</w:t>
      </w:r>
      <w:r>
        <w:rPr>
          <w:rFonts w:hint="eastAsia"/>
          <w:szCs w:val="21"/>
          <w:highlight w:val="none"/>
        </w:rPr>
        <w:t>可由设计单位设计、第三方咨询单位设计或总包单位委托构件生产单位设计。无论哪方设计，</w:t>
      </w:r>
      <w:r>
        <w:rPr>
          <w:szCs w:val="21"/>
          <w:highlight w:val="none"/>
        </w:rPr>
        <w:t>图纸</w:t>
      </w:r>
      <w:r>
        <w:rPr>
          <w:rFonts w:hint="eastAsia"/>
          <w:szCs w:val="21"/>
          <w:highlight w:val="none"/>
        </w:rPr>
        <w:t>均应包含以下内容</w:t>
      </w:r>
      <w:r>
        <w:rPr>
          <w:rFonts w:hint="eastAsia"/>
          <w:szCs w:val="21"/>
          <w:highlight w:val="none"/>
          <w:lang w:eastAsia="zh-CN"/>
        </w:rPr>
        <w:t>：</w:t>
      </w:r>
    </w:p>
    <w:p>
      <w:pPr>
        <w:spacing w:line="240" w:lineRule="auto"/>
        <w:ind w:firstLine="421" w:firstLineChars="200"/>
        <w:rPr>
          <w:rFonts w:ascii="等线" w:hAnsi="等线" w:eastAsia="等线"/>
          <w:szCs w:val="21"/>
          <w:highlight w:val="none"/>
        </w:rPr>
      </w:pPr>
      <w:r>
        <w:rPr>
          <w:b/>
          <w:szCs w:val="21"/>
          <w:highlight w:val="none"/>
        </w:rPr>
        <w:t>1</w:t>
      </w:r>
      <w:r>
        <w:rPr>
          <w:rFonts w:ascii="等线" w:hAnsi="等线" w:eastAsia="等线"/>
          <w:szCs w:val="21"/>
          <w:highlight w:val="none"/>
        </w:rPr>
        <w:t xml:space="preserve"> </w:t>
      </w:r>
      <w:r>
        <w:rPr>
          <w:rFonts w:hint="eastAsia" w:ascii="等线" w:hAnsi="等线" w:eastAsia="等线"/>
          <w:szCs w:val="21"/>
          <w:highlight w:val="none"/>
          <w:lang w:val="en-US" w:eastAsia="zh-CN"/>
        </w:rPr>
        <w:t xml:space="preserve"> </w:t>
      </w:r>
      <w:r>
        <w:rPr>
          <w:szCs w:val="21"/>
          <w:highlight w:val="none"/>
        </w:rPr>
        <w:t>预制</w:t>
      </w:r>
      <w:r>
        <w:rPr>
          <w:rFonts w:hint="eastAsia"/>
          <w:szCs w:val="21"/>
          <w:highlight w:val="none"/>
        </w:rPr>
        <w:t>混凝土</w:t>
      </w:r>
      <w:r>
        <w:rPr>
          <w:szCs w:val="21"/>
          <w:highlight w:val="none"/>
        </w:rPr>
        <w:t>构件模板图、配筋图、吊件及管线等预埋件的布置图及细部详图应满足生产的资料需求；</w:t>
      </w:r>
    </w:p>
    <w:p>
      <w:pPr>
        <w:spacing w:line="240" w:lineRule="auto"/>
        <w:ind w:firstLine="422"/>
        <w:outlineLvl w:val="9"/>
        <w:rPr>
          <w:szCs w:val="21"/>
          <w:highlight w:val="none"/>
        </w:rPr>
      </w:pPr>
      <w:bookmarkStart w:id="614" w:name="_Toc26445"/>
      <w:r>
        <w:rPr>
          <w:b/>
          <w:szCs w:val="21"/>
          <w:highlight w:val="none"/>
        </w:rPr>
        <w:t>2</w:t>
      </w:r>
      <w:r>
        <w:rPr>
          <w:rFonts w:ascii="等线" w:hAnsi="等线" w:eastAsia="等线"/>
          <w:szCs w:val="21"/>
          <w:highlight w:val="none"/>
        </w:rPr>
        <w:t xml:space="preserve"> </w:t>
      </w:r>
      <w:r>
        <w:rPr>
          <w:rFonts w:hint="eastAsia" w:ascii="等线" w:hAnsi="等线" w:eastAsia="等线"/>
          <w:szCs w:val="21"/>
          <w:highlight w:val="none"/>
          <w:lang w:val="en-US" w:eastAsia="zh-CN"/>
        </w:rPr>
        <w:t xml:space="preserve"> </w:t>
      </w:r>
      <w:r>
        <w:rPr>
          <w:szCs w:val="21"/>
          <w:highlight w:val="none"/>
        </w:rPr>
        <w:t>对带饰面砖或饰面板的构件，应绘制排砖图或排板图；</w:t>
      </w:r>
      <w:bookmarkEnd w:id="614"/>
    </w:p>
    <w:p>
      <w:pPr>
        <w:spacing w:line="240" w:lineRule="auto"/>
        <w:ind w:firstLine="422"/>
        <w:rPr>
          <w:szCs w:val="21"/>
          <w:highlight w:val="none"/>
        </w:rPr>
      </w:pPr>
      <w:r>
        <w:rPr>
          <w:b/>
          <w:szCs w:val="21"/>
          <w:highlight w:val="none"/>
        </w:rPr>
        <w:t>3</w:t>
      </w:r>
      <w:r>
        <w:rPr>
          <w:rFonts w:ascii="等线" w:hAnsi="等线" w:eastAsia="等线"/>
          <w:szCs w:val="21"/>
          <w:highlight w:val="none"/>
        </w:rPr>
        <w:t xml:space="preserve"> </w:t>
      </w:r>
      <w:r>
        <w:rPr>
          <w:rFonts w:hint="eastAsia" w:ascii="等线" w:hAnsi="等线" w:eastAsia="等线"/>
          <w:szCs w:val="21"/>
          <w:highlight w:val="none"/>
          <w:lang w:val="en-US" w:eastAsia="zh-CN"/>
        </w:rPr>
        <w:t xml:space="preserve"> </w:t>
      </w:r>
      <w:r>
        <w:rPr>
          <w:szCs w:val="21"/>
          <w:highlight w:val="none"/>
        </w:rPr>
        <w:t>对夹芯保温墙板，应绘制内外叶墙板拉</w:t>
      </w:r>
      <w:r>
        <w:rPr>
          <w:rFonts w:hint="eastAsia"/>
          <w:szCs w:val="21"/>
          <w:highlight w:val="none"/>
        </w:rPr>
        <w:t>结件</w:t>
      </w:r>
      <w:r>
        <w:rPr>
          <w:szCs w:val="21"/>
          <w:highlight w:val="none"/>
        </w:rPr>
        <w:t>布置图及保温板排板图。拉结件的受力和位置应符合要求和贴合实际生产；</w:t>
      </w:r>
    </w:p>
    <w:p>
      <w:pPr>
        <w:spacing w:line="240" w:lineRule="auto"/>
        <w:ind w:firstLine="422"/>
        <w:rPr>
          <w:rFonts w:hint="eastAsia" w:eastAsia="宋体"/>
          <w:szCs w:val="21"/>
          <w:highlight w:val="none"/>
          <w:lang w:eastAsia="zh-CN"/>
        </w:rPr>
      </w:pPr>
      <w:r>
        <w:rPr>
          <w:rFonts w:hint="eastAsia"/>
          <w:b/>
          <w:szCs w:val="21"/>
          <w:highlight w:val="none"/>
        </w:rPr>
        <w:t>4</w:t>
      </w:r>
      <w:r>
        <w:rPr>
          <w:b/>
          <w:szCs w:val="21"/>
          <w:highlight w:val="none"/>
        </w:rPr>
        <w:t xml:space="preserve"> </w:t>
      </w:r>
      <w:r>
        <w:rPr>
          <w:rFonts w:hint="eastAsia"/>
          <w:b/>
          <w:szCs w:val="21"/>
          <w:highlight w:val="none"/>
          <w:lang w:val="en-US" w:eastAsia="zh-CN"/>
        </w:rPr>
        <w:t xml:space="preserve"> </w:t>
      </w:r>
      <w:r>
        <w:rPr>
          <w:szCs w:val="21"/>
          <w:highlight w:val="none"/>
        </w:rPr>
        <w:t>预制</w:t>
      </w:r>
      <w:r>
        <w:rPr>
          <w:rFonts w:hint="eastAsia"/>
          <w:szCs w:val="21"/>
          <w:highlight w:val="none"/>
        </w:rPr>
        <w:t>混凝土</w:t>
      </w:r>
      <w:r>
        <w:rPr>
          <w:szCs w:val="21"/>
          <w:highlight w:val="none"/>
        </w:rPr>
        <w:t>构件现场临时安装图、拼接详图、防水构造详图等。构件的临时支撑件位置应考虑实际施工空间和受力点的位置，合理布置；后浇带拼接位置的钢筋避让、连接和防水构造应符合国家规范要求</w:t>
      </w:r>
      <w:r>
        <w:rPr>
          <w:rFonts w:hint="eastAsia"/>
          <w:szCs w:val="21"/>
          <w:highlight w:val="none"/>
          <w:lang w:eastAsia="zh-CN"/>
        </w:rPr>
        <w:t>；</w:t>
      </w:r>
    </w:p>
    <w:p>
      <w:pPr>
        <w:spacing w:line="240" w:lineRule="auto"/>
        <w:ind w:firstLine="422"/>
        <w:rPr>
          <w:szCs w:val="21"/>
          <w:highlight w:val="none"/>
        </w:rPr>
      </w:pPr>
      <w:r>
        <w:rPr>
          <w:b/>
          <w:szCs w:val="21"/>
          <w:highlight w:val="none"/>
        </w:rPr>
        <w:t>5</w:t>
      </w:r>
      <w:r>
        <w:rPr>
          <w:rFonts w:ascii="等线" w:hAnsi="等线" w:eastAsia="等线"/>
          <w:szCs w:val="21"/>
          <w:highlight w:val="none"/>
        </w:rPr>
        <w:t xml:space="preserve"> </w:t>
      </w:r>
      <w:r>
        <w:rPr>
          <w:rFonts w:hint="eastAsia" w:ascii="等线" w:hAnsi="等线" w:eastAsia="等线"/>
          <w:szCs w:val="21"/>
          <w:highlight w:val="none"/>
          <w:lang w:val="en-US" w:eastAsia="zh-CN"/>
        </w:rPr>
        <w:t xml:space="preserve"> </w:t>
      </w:r>
      <w:r>
        <w:rPr>
          <w:szCs w:val="21"/>
          <w:highlight w:val="none"/>
        </w:rPr>
        <w:t>吊点受力验算书和构件临时安装受力验算书目前深圳市没有进行硬性规定需要设计方提供，但从安全性和行业规范性考虑，实际应进行吊装验算并形成资料文件进行归档。</w:t>
      </w:r>
    </w:p>
    <w:p>
      <w:pPr>
        <w:spacing w:line="240" w:lineRule="auto"/>
        <w:rPr>
          <w:rFonts w:hint="eastAsia" w:ascii="Times New Roman" w:hAnsi="Times New Roman" w:eastAsia="宋体" w:cs="Times New Roman"/>
          <w:szCs w:val="21"/>
          <w:highlight w:val="none"/>
          <w:lang w:eastAsia="zh-CN"/>
        </w:rPr>
      </w:pPr>
      <w:r>
        <w:rPr>
          <w:rFonts w:hint="eastAsia" w:cs="Times New Roman"/>
          <w:b/>
          <w:bCs/>
          <w:kern w:val="2"/>
          <w:sz w:val="21"/>
          <w:szCs w:val="21"/>
          <w:highlight w:val="none"/>
          <w:lang w:val="en-US" w:eastAsia="zh-CN" w:bidi="ar-SA"/>
        </w:rPr>
        <w:t>6</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宋体" w:hAnsi="宋体" w:eastAsia="宋体" w:cs="宋体"/>
          <w:b/>
          <w:bCs/>
          <w:kern w:val="2"/>
          <w:sz w:val="21"/>
          <w:szCs w:val="21"/>
          <w:highlight w:val="none"/>
          <w:lang w:val="en-US" w:eastAsia="zh-CN" w:bidi="ar-SA"/>
        </w:rPr>
        <w:t>.</w:t>
      </w:r>
      <w:r>
        <w:rPr>
          <w:rFonts w:hint="eastAsia" w:cs="Times New Roman"/>
          <w:b/>
          <w:bCs/>
          <w:kern w:val="2"/>
          <w:sz w:val="21"/>
          <w:szCs w:val="21"/>
          <w:highlight w:val="none"/>
          <w:lang w:val="en-US" w:eastAsia="zh-CN" w:bidi="ar-SA"/>
        </w:rPr>
        <w:t>2</w:t>
      </w:r>
      <w:r>
        <w:rPr>
          <w:rFonts w:hint="eastAsia" w:ascii="Times New Roman" w:hAnsi="Times New Roman" w:eastAsia="宋体" w:cs="Times New Roman"/>
          <w:kern w:val="2"/>
          <w:sz w:val="21"/>
          <w:szCs w:val="21"/>
          <w:highlight w:val="none"/>
          <w:lang w:val="en-US" w:eastAsia="zh-CN" w:bidi="ar-SA"/>
        </w:rPr>
        <w:t xml:space="preserve">  </w:t>
      </w:r>
      <w:r>
        <w:rPr>
          <w:rFonts w:hint="eastAsia" w:ascii="Times New Roman" w:hAnsi="Times New Roman" w:eastAsia="宋体" w:cs="Times New Roman"/>
          <w:szCs w:val="21"/>
          <w:highlight w:val="none"/>
        </w:rPr>
        <w:t>生产车间宜建立产品设计交互平台，通过BIM技术建立产线或装置的虚拟模型，采用数字化建模的方法对生产流程进行可视化管理。</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rPr>
      </w:pPr>
      <w:bookmarkStart w:id="615" w:name="_Toc117169914"/>
      <w:bookmarkStart w:id="616" w:name="_Toc143006982"/>
      <w:bookmarkStart w:id="617" w:name="_Toc116583463"/>
      <w:bookmarkStart w:id="618" w:name="_Toc154584899"/>
      <w:bookmarkStart w:id="619" w:name="_Toc23309"/>
      <w:bookmarkStart w:id="620" w:name="_Toc154586945"/>
      <w:bookmarkStart w:id="621" w:name="_Toc4930"/>
      <w:bookmarkStart w:id="622" w:name="_Toc114470669"/>
      <w:bookmarkStart w:id="623" w:name="_Toc153206010"/>
      <w:bookmarkStart w:id="624" w:name="_Toc29452"/>
      <w:bookmarkStart w:id="625" w:name="_Toc116581529"/>
      <w:bookmarkStart w:id="626" w:name="_Toc154586223"/>
      <w:r>
        <w:rPr>
          <w:b/>
          <w:szCs w:val="21"/>
          <w:highlight w:val="none"/>
        </w:rPr>
        <w:t>6</w:t>
      </w:r>
      <w:r>
        <w:rPr>
          <w:rFonts w:hint="eastAsia" w:ascii="宋体" w:hAnsi="宋体" w:eastAsia="宋体" w:cs="宋体"/>
          <w:b/>
          <w:szCs w:val="21"/>
          <w:highlight w:val="none"/>
        </w:rPr>
        <w:t>.</w:t>
      </w:r>
      <w:r>
        <w:rPr>
          <w:b/>
          <w:szCs w:val="21"/>
          <w:highlight w:val="none"/>
        </w:rPr>
        <w:t>3</w:t>
      </w:r>
      <w:r>
        <w:rPr>
          <w:rFonts w:hint="eastAsia" w:ascii="黑体" w:hAnsi="黑体" w:eastAsia="黑体" w:cs="黑体"/>
          <w:b w:val="0"/>
          <w:bCs/>
          <w:szCs w:val="21"/>
          <w:highlight w:val="none"/>
          <w:lang w:val="en-US" w:eastAsia="zh-CN" w:bidi="ar"/>
        </w:rPr>
        <w:t xml:space="preserve">  钢筋加工、连接与安装</w:t>
      </w:r>
      <w:bookmarkEnd w:id="615"/>
      <w:bookmarkEnd w:id="616"/>
      <w:bookmarkEnd w:id="617"/>
      <w:bookmarkEnd w:id="618"/>
      <w:bookmarkEnd w:id="619"/>
      <w:bookmarkEnd w:id="620"/>
      <w:bookmarkEnd w:id="621"/>
      <w:bookmarkEnd w:id="622"/>
      <w:bookmarkEnd w:id="623"/>
      <w:bookmarkEnd w:id="624"/>
      <w:bookmarkEnd w:id="625"/>
      <w:bookmarkEnd w:id="626"/>
    </w:p>
    <w:p>
      <w:pPr>
        <w:spacing w:line="240" w:lineRule="auto"/>
        <w:rPr>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3</w:t>
      </w:r>
      <w:r>
        <w:rPr>
          <w:rFonts w:hint="eastAsia" w:ascii="宋体" w:hAnsi="宋体" w:eastAsia="宋体" w:cs="宋体"/>
          <w:b/>
          <w:szCs w:val="21"/>
          <w:highlight w:val="none"/>
        </w:rPr>
        <w:t>.</w:t>
      </w:r>
      <w:r>
        <w:rPr>
          <w:b/>
          <w:szCs w:val="21"/>
          <w:highlight w:val="none"/>
        </w:rPr>
        <w:t>1</w:t>
      </w:r>
      <w:r>
        <w:rPr>
          <w:rFonts w:hint="eastAsia"/>
          <w:b/>
          <w:szCs w:val="21"/>
          <w:highlight w:val="none"/>
          <w:lang w:val="en-US" w:eastAsia="zh-CN"/>
        </w:rPr>
        <w:t xml:space="preserve">  </w:t>
      </w:r>
      <w:r>
        <w:rPr>
          <w:rFonts w:hint="eastAsia"/>
          <w:szCs w:val="21"/>
          <w:highlight w:val="none"/>
        </w:rPr>
        <w:t>钢筋加工的形状、尺寸、出筋方式和加工误差，对模具及生产效率有一定的影响，应充分了解设计图纸要求及规范要求，严格按照钢筋配料单加工，确定弯曲调整值，弯钩增加长度，箍筋调整值等参数，保证下料精确合理。</w:t>
      </w:r>
    </w:p>
    <w:p>
      <w:pPr>
        <w:spacing w:line="240" w:lineRule="auto"/>
        <w:rPr>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3</w:t>
      </w:r>
      <w:r>
        <w:rPr>
          <w:rFonts w:hint="eastAsia" w:ascii="宋体" w:hAnsi="宋体" w:eastAsia="宋体" w:cs="宋体"/>
          <w:b/>
          <w:szCs w:val="21"/>
          <w:highlight w:val="none"/>
        </w:rPr>
        <w:t>.</w:t>
      </w:r>
      <w:r>
        <w:rPr>
          <w:b/>
          <w:szCs w:val="21"/>
          <w:highlight w:val="none"/>
        </w:rPr>
        <w:t xml:space="preserve">5 </w:t>
      </w:r>
      <w:r>
        <w:rPr>
          <w:rFonts w:hint="eastAsia"/>
          <w:b/>
          <w:szCs w:val="21"/>
          <w:highlight w:val="none"/>
          <w:lang w:val="en-US" w:eastAsia="zh-CN"/>
        </w:rPr>
        <w:t xml:space="preserve"> </w:t>
      </w:r>
      <w:r>
        <w:rPr>
          <w:rFonts w:hint="eastAsia"/>
          <w:szCs w:val="21"/>
          <w:highlight w:val="none"/>
        </w:rPr>
        <w:t>钢筋连接质量直接关系结构安全，在施工过程中应重点检查。如机械连接采用的螺纹接头以及半灌浆套筒一端的螺纹接头，可根据连接需要采用管钳、扭力扳手等工具辅助连接，连接后应使用专用扭力扳手校核拧紧力矩，注意施工用扭力扳手和校核用扭力扳手应进行区分使用。</w:t>
      </w:r>
    </w:p>
    <w:p>
      <w:pPr>
        <w:spacing w:line="240" w:lineRule="auto"/>
        <w:ind w:firstLine="422"/>
        <w:rPr>
          <w:szCs w:val="21"/>
          <w:highlight w:val="none"/>
          <w:lang w:val="en-US"/>
        </w:rPr>
      </w:pP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rPr>
      </w:pPr>
      <w:bookmarkStart w:id="627" w:name="_Toc143006983"/>
      <w:bookmarkStart w:id="628" w:name="_Toc153206011"/>
      <w:bookmarkStart w:id="629" w:name="_Toc4613"/>
      <w:bookmarkStart w:id="630" w:name="_Toc154586224"/>
      <w:bookmarkStart w:id="631" w:name="_Toc154586946"/>
      <w:bookmarkStart w:id="632" w:name="_Toc114470670"/>
      <w:bookmarkStart w:id="633" w:name="_Toc116581530"/>
      <w:bookmarkStart w:id="634" w:name="_Toc116583464"/>
      <w:bookmarkStart w:id="635" w:name="_Toc3776"/>
      <w:bookmarkStart w:id="636" w:name="_Toc154584900"/>
      <w:bookmarkStart w:id="637" w:name="_Toc2796"/>
      <w:bookmarkStart w:id="638" w:name="_Toc117169915"/>
      <w:r>
        <w:rPr>
          <w:b/>
          <w:szCs w:val="21"/>
          <w:highlight w:val="none"/>
        </w:rPr>
        <w:t>6</w:t>
      </w:r>
      <w:r>
        <w:rPr>
          <w:rFonts w:hint="eastAsia" w:ascii="宋体" w:hAnsi="宋体" w:eastAsia="宋体" w:cs="宋体"/>
          <w:b/>
          <w:szCs w:val="21"/>
          <w:highlight w:val="none"/>
        </w:rPr>
        <w:t>.</w:t>
      </w:r>
      <w:r>
        <w:rPr>
          <w:b/>
          <w:szCs w:val="21"/>
          <w:highlight w:val="none"/>
        </w:rPr>
        <w:t>4</w:t>
      </w:r>
      <w:r>
        <w:rPr>
          <w:rFonts w:hint="eastAsia" w:ascii="黑体" w:hAnsi="黑体" w:eastAsia="黑体" w:cs="黑体"/>
          <w:b w:val="0"/>
          <w:bCs/>
          <w:szCs w:val="21"/>
          <w:highlight w:val="none"/>
          <w:lang w:val="en-US" w:eastAsia="zh-CN" w:bidi="ar"/>
        </w:rPr>
        <w:t xml:space="preserve">  预留和预埋</w:t>
      </w:r>
      <w:bookmarkEnd w:id="627"/>
      <w:bookmarkEnd w:id="628"/>
      <w:bookmarkEnd w:id="629"/>
      <w:bookmarkEnd w:id="630"/>
      <w:bookmarkEnd w:id="631"/>
      <w:bookmarkEnd w:id="632"/>
      <w:bookmarkEnd w:id="633"/>
      <w:bookmarkEnd w:id="634"/>
      <w:bookmarkEnd w:id="635"/>
      <w:bookmarkEnd w:id="636"/>
      <w:bookmarkEnd w:id="637"/>
      <w:bookmarkEnd w:id="638"/>
    </w:p>
    <w:p>
      <w:pPr>
        <w:spacing w:line="240" w:lineRule="auto"/>
        <w:rPr>
          <w:rFonts w:hint="eastAsia"/>
          <w:szCs w:val="21"/>
          <w:highlight w:val="none"/>
        </w:rPr>
      </w:pPr>
      <w:r>
        <w:rPr>
          <w:rFonts w:hint="eastAsia"/>
          <w:b/>
          <w:szCs w:val="21"/>
          <w:highlight w:val="none"/>
        </w:rPr>
        <w:t>6</w:t>
      </w:r>
      <w:r>
        <w:rPr>
          <w:rFonts w:hint="eastAsia" w:ascii="宋体" w:hAnsi="宋体" w:eastAsia="宋体" w:cs="宋体"/>
          <w:b/>
          <w:szCs w:val="21"/>
          <w:highlight w:val="none"/>
        </w:rPr>
        <w:t>.</w:t>
      </w:r>
      <w:r>
        <w:rPr>
          <w:b/>
          <w:szCs w:val="21"/>
          <w:highlight w:val="none"/>
        </w:rPr>
        <w:t>4</w:t>
      </w:r>
      <w:r>
        <w:rPr>
          <w:rFonts w:hint="eastAsia" w:ascii="宋体" w:hAnsi="宋体" w:eastAsia="宋体" w:cs="宋体"/>
          <w:b/>
          <w:szCs w:val="21"/>
          <w:highlight w:val="none"/>
        </w:rPr>
        <w:t>.</w:t>
      </w:r>
      <w:r>
        <w:rPr>
          <w:b/>
          <w:szCs w:val="21"/>
          <w:highlight w:val="none"/>
        </w:rPr>
        <w:t xml:space="preserve">3 </w:t>
      </w:r>
      <w:r>
        <w:rPr>
          <w:rFonts w:hint="eastAsia"/>
          <w:b/>
          <w:szCs w:val="21"/>
          <w:highlight w:val="none"/>
          <w:lang w:val="en-US" w:eastAsia="zh-CN"/>
        </w:rPr>
        <w:t xml:space="preserve"> </w:t>
      </w:r>
      <w:r>
        <w:rPr>
          <w:rFonts w:hint="eastAsia"/>
          <w:szCs w:val="21"/>
          <w:highlight w:val="none"/>
        </w:rPr>
        <w:t>由于浇筑和振捣过程会对预留预埋件产生较大的作用力，因此应采取防堵塞、脱落、移位等措施十分必要，对阴角位置，混凝土较难浇透的地方还应单独考虑施工方案。</w:t>
      </w:r>
    </w:p>
    <w:p>
      <w:pPr>
        <w:spacing w:line="240" w:lineRule="auto"/>
        <w:rPr>
          <w:rFonts w:hint="eastAsia"/>
          <w:szCs w:val="21"/>
          <w:highlight w:val="none"/>
        </w:rPr>
      </w:pPr>
      <w:r>
        <w:rPr>
          <w:rFonts w:hint="eastAsia"/>
          <w:b/>
          <w:szCs w:val="21"/>
          <w:highlight w:val="none"/>
        </w:rPr>
        <w:t>6</w:t>
      </w:r>
      <w:r>
        <w:rPr>
          <w:rFonts w:hint="eastAsia" w:ascii="宋体" w:hAnsi="宋体" w:eastAsia="宋体" w:cs="宋体"/>
          <w:b/>
          <w:szCs w:val="21"/>
          <w:highlight w:val="none"/>
        </w:rPr>
        <w:t>.</w:t>
      </w:r>
      <w:r>
        <w:rPr>
          <w:b/>
          <w:szCs w:val="21"/>
          <w:highlight w:val="none"/>
        </w:rPr>
        <w:t>4</w:t>
      </w:r>
      <w:r>
        <w:rPr>
          <w:rFonts w:hint="eastAsia" w:ascii="宋体" w:hAnsi="宋体" w:eastAsia="宋体" w:cs="宋体"/>
          <w:b/>
          <w:szCs w:val="21"/>
          <w:highlight w:val="none"/>
        </w:rPr>
        <w:t>.</w:t>
      </w:r>
      <w:r>
        <w:rPr>
          <w:b/>
          <w:szCs w:val="21"/>
          <w:highlight w:val="none"/>
        </w:rPr>
        <w:t xml:space="preserve">5 </w:t>
      </w:r>
      <w:r>
        <w:rPr>
          <w:rFonts w:hint="eastAsia"/>
          <w:b/>
          <w:szCs w:val="21"/>
          <w:highlight w:val="none"/>
          <w:lang w:val="en-US" w:eastAsia="zh-CN"/>
        </w:rPr>
        <w:t xml:space="preserve"> </w:t>
      </w:r>
      <w:r>
        <w:rPr>
          <w:rFonts w:hint="eastAsia"/>
          <w:szCs w:val="21"/>
          <w:highlight w:val="none"/>
        </w:rPr>
        <w:t>很多设计单位针对预埋钢板、预埋钢框的深化设计往往只考虑其功能性和结构性作用，而忽略了预埋过程所需要的临时固定措施，此条提醒深化加工详图过程应进行生产考虑。</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rPr>
      </w:pPr>
      <w:bookmarkStart w:id="639" w:name="_Toc17635"/>
      <w:bookmarkStart w:id="640" w:name="_Toc21252"/>
      <w:bookmarkStart w:id="641" w:name="_Toc116581531"/>
      <w:bookmarkStart w:id="642" w:name="_Toc116583465"/>
      <w:bookmarkStart w:id="643" w:name="_Toc143006984"/>
      <w:bookmarkStart w:id="644" w:name="_Toc154586947"/>
      <w:bookmarkStart w:id="645" w:name="_Toc153206012"/>
      <w:bookmarkStart w:id="646" w:name="_Toc114470671"/>
      <w:bookmarkStart w:id="647" w:name="_Toc154584901"/>
      <w:bookmarkStart w:id="648" w:name="_Toc117169916"/>
      <w:bookmarkStart w:id="649" w:name="_Toc22280"/>
      <w:bookmarkStart w:id="650" w:name="_Toc154586225"/>
      <w:r>
        <w:rPr>
          <w:b/>
          <w:szCs w:val="21"/>
          <w:highlight w:val="none"/>
        </w:rPr>
        <w:t>6</w:t>
      </w:r>
      <w:r>
        <w:rPr>
          <w:rFonts w:hint="eastAsia" w:ascii="宋体" w:hAnsi="宋体" w:eastAsia="宋体" w:cs="宋体"/>
          <w:b/>
          <w:szCs w:val="21"/>
          <w:highlight w:val="none"/>
        </w:rPr>
        <w:t>.</w:t>
      </w:r>
      <w:r>
        <w:rPr>
          <w:b/>
          <w:szCs w:val="21"/>
          <w:highlight w:val="none"/>
        </w:rPr>
        <w:t>5</w:t>
      </w:r>
      <w:r>
        <w:rPr>
          <w:rFonts w:hint="eastAsia" w:ascii="黑体" w:hAnsi="黑体" w:eastAsia="黑体" w:cs="黑体"/>
          <w:b w:val="0"/>
          <w:bCs/>
          <w:szCs w:val="21"/>
          <w:highlight w:val="none"/>
          <w:lang w:val="en-US" w:eastAsia="zh-CN" w:bidi="ar"/>
        </w:rPr>
        <w:t xml:space="preserve">  混凝土浇筑与养护</w:t>
      </w:r>
      <w:bookmarkEnd w:id="639"/>
      <w:bookmarkEnd w:id="640"/>
      <w:bookmarkEnd w:id="641"/>
      <w:bookmarkEnd w:id="642"/>
      <w:bookmarkEnd w:id="643"/>
      <w:bookmarkEnd w:id="644"/>
      <w:bookmarkEnd w:id="645"/>
      <w:bookmarkEnd w:id="646"/>
      <w:bookmarkEnd w:id="647"/>
      <w:bookmarkEnd w:id="648"/>
      <w:bookmarkEnd w:id="649"/>
      <w:bookmarkEnd w:id="650"/>
    </w:p>
    <w:p>
      <w:pPr>
        <w:spacing w:line="240" w:lineRule="auto"/>
        <w:rPr>
          <w:rFonts w:hint="eastAsia"/>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5</w:t>
      </w:r>
      <w:r>
        <w:rPr>
          <w:rFonts w:hint="eastAsia" w:ascii="宋体" w:hAnsi="宋体" w:eastAsia="宋体" w:cs="宋体"/>
          <w:b/>
          <w:szCs w:val="21"/>
          <w:highlight w:val="none"/>
        </w:rPr>
        <w:t>.</w:t>
      </w:r>
      <w:r>
        <w:rPr>
          <w:b/>
          <w:szCs w:val="21"/>
          <w:highlight w:val="none"/>
        </w:rPr>
        <w:t xml:space="preserve">2 </w:t>
      </w:r>
      <w:r>
        <w:rPr>
          <w:rFonts w:hint="eastAsia"/>
          <w:b/>
          <w:szCs w:val="21"/>
          <w:highlight w:val="none"/>
          <w:lang w:val="en-US" w:eastAsia="zh-CN"/>
        </w:rPr>
        <w:t xml:space="preserve"> </w:t>
      </w:r>
      <w:r>
        <w:rPr>
          <w:rFonts w:hint="eastAsia"/>
          <w:szCs w:val="21"/>
          <w:highlight w:val="none"/>
        </w:rPr>
        <w:t>混凝土拌合物应具有良好的粘聚性、流动性和保水性，以便施工操作，不同预制混凝土构件采用的混凝土配方有所不同，但都应保证混凝土拌合物在浇筑过程中不致产生分层、离析和泌水现象，这是获得良好浇筑质量的前提。</w:t>
      </w:r>
    </w:p>
    <w:p>
      <w:pPr>
        <w:spacing w:line="240" w:lineRule="auto"/>
        <w:rPr>
          <w:rFonts w:hint="eastAsia"/>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5</w:t>
      </w:r>
      <w:r>
        <w:rPr>
          <w:rFonts w:hint="eastAsia" w:ascii="宋体" w:hAnsi="宋体" w:eastAsia="宋体" w:cs="宋体"/>
          <w:b/>
          <w:szCs w:val="21"/>
          <w:highlight w:val="none"/>
        </w:rPr>
        <w:t>.</w:t>
      </w:r>
      <w:r>
        <w:rPr>
          <w:b/>
          <w:szCs w:val="21"/>
          <w:highlight w:val="none"/>
        </w:rPr>
        <w:t xml:space="preserve">5 </w:t>
      </w:r>
      <w:r>
        <w:rPr>
          <w:rFonts w:hint="eastAsia"/>
          <w:b/>
          <w:szCs w:val="21"/>
          <w:highlight w:val="none"/>
          <w:lang w:val="en-US" w:eastAsia="zh-CN"/>
        </w:rPr>
        <w:t xml:space="preserve"> </w:t>
      </w:r>
      <w:r>
        <w:rPr>
          <w:rFonts w:hint="eastAsia"/>
          <w:szCs w:val="21"/>
          <w:highlight w:val="none"/>
        </w:rPr>
        <w:t>本条提出混凝土浇筑时的注意事项，需考虑构件脱模、预埋件固定、浇筑工艺、浇筑时间、二次浇筑等影响构件成型质量因素。</w:t>
      </w:r>
    </w:p>
    <w:p>
      <w:pPr>
        <w:spacing w:line="240" w:lineRule="auto"/>
        <w:rPr>
          <w:rFonts w:hint="eastAsia"/>
          <w:szCs w:val="21"/>
          <w:highlight w:val="none"/>
        </w:rPr>
      </w:pPr>
      <w:r>
        <w:rPr>
          <w:b/>
          <w:bCs/>
          <w:szCs w:val="21"/>
          <w:highlight w:val="none"/>
        </w:rPr>
        <w:t>6</w:t>
      </w:r>
      <w:r>
        <w:rPr>
          <w:rFonts w:hint="eastAsia" w:ascii="宋体" w:hAnsi="宋体" w:eastAsia="宋体" w:cs="宋体"/>
          <w:b/>
          <w:szCs w:val="21"/>
          <w:highlight w:val="none"/>
        </w:rPr>
        <w:t>.</w:t>
      </w:r>
      <w:r>
        <w:rPr>
          <w:b/>
          <w:bCs/>
          <w:szCs w:val="21"/>
          <w:highlight w:val="none"/>
        </w:rPr>
        <w:t>5</w:t>
      </w:r>
      <w:r>
        <w:rPr>
          <w:rFonts w:hint="eastAsia" w:ascii="宋体" w:hAnsi="宋体" w:eastAsia="宋体" w:cs="宋体"/>
          <w:b/>
          <w:szCs w:val="21"/>
          <w:highlight w:val="none"/>
        </w:rPr>
        <w:t>.</w:t>
      </w:r>
      <w:r>
        <w:rPr>
          <w:b/>
          <w:bCs/>
          <w:szCs w:val="21"/>
          <w:highlight w:val="none"/>
        </w:rPr>
        <w:t>6</w:t>
      </w:r>
      <w:r>
        <w:rPr>
          <w:bCs/>
          <w:szCs w:val="21"/>
          <w:highlight w:val="none"/>
        </w:rPr>
        <w:t xml:space="preserve"> </w:t>
      </w:r>
      <w:r>
        <w:rPr>
          <w:rFonts w:hint="eastAsia"/>
          <w:bCs/>
          <w:szCs w:val="21"/>
          <w:highlight w:val="none"/>
          <w:lang w:val="en-US" w:eastAsia="zh-CN"/>
        </w:rPr>
        <w:t xml:space="preserve"> </w:t>
      </w:r>
      <w:r>
        <w:rPr>
          <w:rFonts w:hint="eastAsia"/>
          <w:szCs w:val="21"/>
          <w:highlight w:val="none"/>
        </w:rPr>
        <w:t xml:space="preserve">混凝土振捣产生的作用力，往往会导致预埋件、反打饰面砖移位，钢筋保护层不足，预埋门窗框变形等。不正确的振捣也可能造成漏浆、气泡存留、密度不均。因此振捣设备应根据混凝土的品种和工作性能，预制混凝土构件的规格和形状等因素确定，必要时制定振捣成型操作规程； </w:t>
      </w:r>
    </w:p>
    <w:p>
      <w:pPr>
        <w:spacing w:line="240" w:lineRule="auto"/>
        <w:rPr>
          <w:rFonts w:hint="eastAsia"/>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5</w:t>
      </w:r>
      <w:r>
        <w:rPr>
          <w:rFonts w:hint="eastAsia" w:ascii="宋体" w:hAnsi="宋体" w:eastAsia="宋体" w:cs="宋体"/>
          <w:b/>
          <w:szCs w:val="21"/>
          <w:highlight w:val="none"/>
        </w:rPr>
        <w:t>.</w:t>
      </w:r>
      <w:r>
        <w:rPr>
          <w:rFonts w:hint="eastAsia"/>
          <w:b/>
          <w:szCs w:val="21"/>
          <w:highlight w:val="none"/>
        </w:rPr>
        <w:t>11</w:t>
      </w:r>
      <w:r>
        <w:rPr>
          <w:rFonts w:hint="eastAsia"/>
          <w:b/>
          <w:szCs w:val="21"/>
          <w:highlight w:val="none"/>
          <w:lang w:val="en-US" w:eastAsia="zh-CN"/>
        </w:rPr>
        <w:t xml:space="preserve">  </w:t>
      </w:r>
      <w:r>
        <w:rPr>
          <w:rFonts w:hint="eastAsia"/>
          <w:szCs w:val="21"/>
          <w:highlight w:val="none"/>
        </w:rPr>
        <w:t>本条规定了预制混凝土构件的养护方法和要求。梁、柱、楼梯等体积较大的预制混凝土构件宜采用自然养护方式；叠合板、墙板、阳台板等较薄预制混凝土构件或冬期生产的预制混凝土构件，宜采用蒸汽养护方式。构件采用加热蒸汽养护时应控制升降温速率及最高温度，并满足相应的湿度要求以及有关时间要求。在堆场内养护，除了塑料薄膜覆盖措施外，也可在堆场内安装整体的喷淋洒水管，进行喷淋养护。喷淋系统宜采用雾状喷淋，减少水资源浪费。针对堆叠的构件洒水，应考虑堆叠角度，确保在喷淋时每个构件都能接受到水。</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rFonts w:hint="eastAsia" w:ascii="黑体" w:hAnsi="黑体" w:eastAsia="黑体" w:cs="黑体"/>
          <w:b w:val="0"/>
          <w:bCs/>
          <w:szCs w:val="21"/>
          <w:highlight w:val="none"/>
          <w:lang w:val="en-US" w:eastAsia="zh-CN" w:bidi="ar"/>
        </w:rPr>
      </w:pPr>
      <w:bookmarkStart w:id="651" w:name="_Toc29190"/>
      <w:bookmarkStart w:id="652" w:name="_Toc117169917"/>
      <w:bookmarkStart w:id="653" w:name="_Toc143006985"/>
      <w:bookmarkStart w:id="654" w:name="_Toc116583466"/>
      <w:bookmarkStart w:id="655" w:name="_Toc10373"/>
      <w:bookmarkStart w:id="656" w:name="_Toc114470672"/>
      <w:bookmarkStart w:id="657" w:name="_Toc116581532"/>
      <w:bookmarkStart w:id="658" w:name="_Toc154586226"/>
      <w:bookmarkStart w:id="659" w:name="_Toc154584902"/>
      <w:bookmarkStart w:id="660" w:name="_Toc4533"/>
      <w:bookmarkStart w:id="661" w:name="_Toc154586948"/>
      <w:bookmarkStart w:id="662" w:name="_Toc153206013"/>
      <w:r>
        <w:rPr>
          <w:b/>
          <w:szCs w:val="21"/>
          <w:highlight w:val="none"/>
        </w:rPr>
        <w:t>6</w:t>
      </w:r>
      <w:r>
        <w:rPr>
          <w:rFonts w:hint="eastAsia" w:ascii="宋体" w:hAnsi="宋体" w:eastAsia="宋体" w:cs="宋体"/>
          <w:b/>
          <w:szCs w:val="21"/>
          <w:highlight w:val="none"/>
        </w:rPr>
        <w:t>.</w:t>
      </w:r>
      <w:r>
        <w:rPr>
          <w:b/>
          <w:szCs w:val="21"/>
          <w:highlight w:val="none"/>
        </w:rPr>
        <w:t>6</w:t>
      </w:r>
      <w:r>
        <w:rPr>
          <w:rFonts w:hint="eastAsia" w:ascii="黑体" w:hAnsi="黑体" w:eastAsia="黑体" w:cs="黑体"/>
          <w:b w:val="0"/>
          <w:bCs/>
          <w:szCs w:val="21"/>
          <w:highlight w:val="none"/>
          <w:lang w:val="en-US" w:eastAsia="zh-CN" w:bidi="ar"/>
        </w:rPr>
        <w:t xml:space="preserve">  脱模与修补</w:t>
      </w:r>
      <w:bookmarkEnd w:id="651"/>
      <w:bookmarkEnd w:id="652"/>
      <w:bookmarkEnd w:id="653"/>
      <w:bookmarkEnd w:id="654"/>
      <w:bookmarkEnd w:id="655"/>
      <w:bookmarkEnd w:id="656"/>
      <w:bookmarkEnd w:id="657"/>
      <w:bookmarkEnd w:id="658"/>
      <w:bookmarkEnd w:id="659"/>
      <w:bookmarkEnd w:id="660"/>
      <w:bookmarkEnd w:id="661"/>
      <w:bookmarkEnd w:id="662"/>
    </w:p>
    <w:p>
      <w:pPr>
        <w:spacing w:line="240" w:lineRule="auto"/>
        <w:rPr>
          <w:rFonts w:hint="eastAsia"/>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6</w:t>
      </w:r>
      <w:r>
        <w:rPr>
          <w:rFonts w:hint="eastAsia" w:ascii="宋体" w:hAnsi="宋体" w:eastAsia="宋体" w:cs="宋体"/>
          <w:b/>
          <w:szCs w:val="21"/>
          <w:highlight w:val="none"/>
        </w:rPr>
        <w:t>.</w:t>
      </w:r>
      <w:r>
        <w:rPr>
          <w:b/>
          <w:szCs w:val="21"/>
          <w:highlight w:val="none"/>
        </w:rPr>
        <w:t>1-6</w:t>
      </w:r>
      <w:r>
        <w:rPr>
          <w:rFonts w:hint="eastAsia" w:ascii="宋体" w:hAnsi="宋体" w:eastAsia="宋体" w:cs="宋体"/>
          <w:b/>
          <w:szCs w:val="21"/>
          <w:highlight w:val="none"/>
        </w:rPr>
        <w:t>.</w:t>
      </w:r>
      <w:r>
        <w:rPr>
          <w:b/>
          <w:szCs w:val="21"/>
          <w:highlight w:val="none"/>
        </w:rPr>
        <w:t>6</w:t>
      </w:r>
      <w:r>
        <w:rPr>
          <w:rFonts w:hint="eastAsia" w:ascii="宋体" w:hAnsi="宋体" w:eastAsia="宋体" w:cs="宋体"/>
          <w:b/>
          <w:szCs w:val="21"/>
          <w:highlight w:val="none"/>
        </w:rPr>
        <w:t>.</w:t>
      </w:r>
      <w:r>
        <w:rPr>
          <w:b/>
          <w:szCs w:val="21"/>
          <w:highlight w:val="none"/>
        </w:rPr>
        <w:t>2</w:t>
      </w:r>
      <w:r>
        <w:rPr>
          <w:rFonts w:hint="eastAsia"/>
          <w:b/>
          <w:szCs w:val="21"/>
          <w:highlight w:val="none"/>
          <w:lang w:val="en-US" w:eastAsia="zh-CN"/>
        </w:rPr>
        <w:t xml:space="preserve">  </w:t>
      </w:r>
      <w:r>
        <w:rPr>
          <w:rFonts w:hint="eastAsia"/>
          <w:szCs w:val="21"/>
          <w:highlight w:val="none"/>
        </w:rPr>
        <w:t>考虑脱模后产品的完整性，为减少修补工序和修补难度，对脱模过程的注意事项进行规定；此外要求脱模过程不应蛮力敲打、锤击模具避免造成模具变形损坏。</w:t>
      </w:r>
    </w:p>
    <w:p>
      <w:pPr>
        <w:spacing w:line="240" w:lineRule="auto"/>
        <w:rPr>
          <w:rFonts w:hint="eastAsia"/>
          <w:szCs w:val="21"/>
          <w:highlight w:val="none"/>
        </w:rPr>
      </w:pPr>
      <w:r>
        <w:rPr>
          <w:b/>
          <w:szCs w:val="21"/>
          <w:highlight w:val="none"/>
        </w:rPr>
        <w:t>6</w:t>
      </w:r>
      <w:r>
        <w:rPr>
          <w:rFonts w:hint="eastAsia" w:ascii="宋体" w:hAnsi="宋体" w:eastAsia="宋体" w:cs="宋体"/>
          <w:b/>
          <w:szCs w:val="21"/>
          <w:highlight w:val="none"/>
        </w:rPr>
        <w:t>.</w:t>
      </w:r>
      <w:r>
        <w:rPr>
          <w:b/>
          <w:szCs w:val="21"/>
          <w:highlight w:val="none"/>
        </w:rPr>
        <w:t>6</w:t>
      </w:r>
      <w:r>
        <w:rPr>
          <w:rFonts w:hint="eastAsia" w:ascii="宋体" w:hAnsi="宋体" w:eastAsia="宋体" w:cs="宋体"/>
          <w:b/>
          <w:szCs w:val="21"/>
          <w:highlight w:val="none"/>
        </w:rPr>
        <w:t>.</w:t>
      </w:r>
      <w:r>
        <w:rPr>
          <w:b/>
          <w:szCs w:val="21"/>
          <w:highlight w:val="none"/>
        </w:rPr>
        <w:t>3-6</w:t>
      </w:r>
      <w:r>
        <w:rPr>
          <w:rFonts w:hint="eastAsia" w:ascii="宋体" w:hAnsi="宋体" w:eastAsia="宋体" w:cs="宋体"/>
          <w:b/>
          <w:szCs w:val="21"/>
          <w:highlight w:val="none"/>
        </w:rPr>
        <w:t>.</w:t>
      </w:r>
      <w:r>
        <w:rPr>
          <w:b/>
          <w:szCs w:val="21"/>
          <w:highlight w:val="none"/>
        </w:rPr>
        <w:t>6</w:t>
      </w:r>
      <w:r>
        <w:rPr>
          <w:rFonts w:hint="eastAsia" w:ascii="宋体" w:hAnsi="宋体" w:eastAsia="宋体" w:cs="宋体"/>
          <w:b/>
          <w:szCs w:val="21"/>
          <w:highlight w:val="none"/>
        </w:rPr>
        <w:t>.</w:t>
      </w:r>
      <w:r>
        <w:rPr>
          <w:b/>
          <w:szCs w:val="21"/>
          <w:highlight w:val="none"/>
        </w:rPr>
        <w:t xml:space="preserve">4 </w:t>
      </w:r>
      <w:r>
        <w:rPr>
          <w:rFonts w:hint="eastAsia"/>
          <w:b/>
          <w:szCs w:val="21"/>
          <w:highlight w:val="none"/>
          <w:lang w:val="en-US" w:eastAsia="zh-CN"/>
        </w:rPr>
        <w:t xml:space="preserve"> </w:t>
      </w:r>
      <w:r>
        <w:rPr>
          <w:rFonts w:hint="eastAsia"/>
          <w:szCs w:val="21"/>
          <w:highlight w:val="none"/>
        </w:rPr>
        <w:t>大型构件、复杂构件或特殊构件应采用专门的吊架进行起吊。如叠合板应采用专用多点吊架进行起吊，其中非预应力叠合板可以利用析架筋作为起吊点，预应力楼板吊点应专门由设计确定，采用钢筋吊钩或吊钉起吊。</w:t>
      </w:r>
    </w:p>
    <w:p>
      <w:pPr>
        <w:spacing w:line="240" w:lineRule="auto"/>
        <w:rPr>
          <w:rFonts w:hint="eastAsia"/>
          <w:szCs w:val="21"/>
          <w:highlight w:val="none"/>
        </w:rPr>
      </w:pPr>
      <w:r>
        <w:rPr>
          <w:rFonts w:hint="eastAsia"/>
          <w:b/>
          <w:szCs w:val="21"/>
          <w:highlight w:val="none"/>
        </w:rPr>
        <w:t>6</w:t>
      </w:r>
      <w:r>
        <w:rPr>
          <w:rFonts w:hint="eastAsia" w:ascii="宋体" w:hAnsi="宋体" w:eastAsia="宋体" w:cs="宋体"/>
          <w:b/>
          <w:szCs w:val="21"/>
          <w:highlight w:val="none"/>
        </w:rPr>
        <w:t>.</w:t>
      </w:r>
      <w:r>
        <w:rPr>
          <w:b/>
          <w:szCs w:val="21"/>
          <w:highlight w:val="none"/>
        </w:rPr>
        <w:t>6</w:t>
      </w:r>
      <w:r>
        <w:rPr>
          <w:rFonts w:hint="eastAsia" w:ascii="宋体" w:hAnsi="宋体" w:eastAsia="宋体" w:cs="宋体"/>
          <w:b/>
          <w:szCs w:val="21"/>
          <w:highlight w:val="none"/>
        </w:rPr>
        <w:t>.</w:t>
      </w:r>
      <w:r>
        <w:rPr>
          <w:b/>
          <w:szCs w:val="21"/>
          <w:highlight w:val="none"/>
        </w:rPr>
        <w:t xml:space="preserve">7 </w:t>
      </w:r>
      <w:r>
        <w:rPr>
          <w:rFonts w:hint="eastAsia"/>
          <w:b/>
          <w:szCs w:val="21"/>
          <w:highlight w:val="none"/>
          <w:lang w:val="en-US" w:eastAsia="zh-CN"/>
        </w:rPr>
        <w:t xml:space="preserve"> </w:t>
      </w:r>
      <w:r>
        <w:rPr>
          <w:rFonts w:hint="eastAsia"/>
          <w:szCs w:val="21"/>
          <w:highlight w:val="none"/>
        </w:rPr>
        <w:t>构件脱模后出现非重大问题，可采用专用修补浆料进行修补，质检通过后使用。</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lang w:bidi="ar"/>
        </w:rPr>
      </w:pPr>
      <w:bookmarkStart w:id="663" w:name="_Toc25903"/>
      <w:bookmarkStart w:id="664" w:name="_Toc153206014"/>
      <w:bookmarkStart w:id="665" w:name="_Toc117169918"/>
      <w:bookmarkStart w:id="666" w:name="_Toc116581533"/>
      <w:bookmarkStart w:id="667" w:name="_Toc154586227"/>
      <w:bookmarkStart w:id="668" w:name="_Toc116583467"/>
      <w:bookmarkStart w:id="669" w:name="_Toc114470673"/>
      <w:bookmarkStart w:id="670" w:name="_Toc154586949"/>
      <w:bookmarkStart w:id="671" w:name="_Toc143006986"/>
      <w:bookmarkStart w:id="672" w:name="_Toc31695"/>
      <w:bookmarkStart w:id="673" w:name="_Toc154584903"/>
      <w:bookmarkStart w:id="674" w:name="_Toc29885"/>
      <w:r>
        <w:rPr>
          <w:b/>
          <w:szCs w:val="21"/>
          <w:highlight w:val="none"/>
          <w:lang w:bidi="ar"/>
        </w:rPr>
        <w:t>6</w:t>
      </w:r>
      <w:r>
        <w:rPr>
          <w:rFonts w:hint="eastAsia" w:ascii="宋体" w:hAnsi="宋体" w:eastAsia="宋体" w:cs="宋体"/>
          <w:b/>
          <w:szCs w:val="21"/>
          <w:highlight w:val="none"/>
          <w:lang w:bidi="ar"/>
        </w:rPr>
        <w:t>.</w:t>
      </w:r>
      <w:r>
        <w:rPr>
          <w:b/>
          <w:szCs w:val="21"/>
          <w:highlight w:val="none"/>
          <w:lang w:bidi="ar"/>
        </w:rPr>
        <w:t>8</w:t>
      </w:r>
      <w:r>
        <w:rPr>
          <w:rFonts w:hint="eastAsia" w:ascii="黑体" w:hAnsi="黑体" w:eastAsia="黑体" w:cs="黑体"/>
          <w:b w:val="0"/>
          <w:bCs/>
          <w:szCs w:val="21"/>
          <w:highlight w:val="none"/>
          <w:lang w:val="en-US" w:eastAsia="zh-CN" w:bidi="ar"/>
        </w:rPr>
        <w:t xml:space="preserve">  产 品 检 查</w:t>
      </w:r>
      <w:bookmarkEnd w:id="663"/>
      <w:bookmarkEnd w:id="664"/>
      <w:bookmarkEnd w:id="665"/>
      <w:bookmarkEnd w:id="666"/>
      <w:bookmarkEnd w:id="667"/>
      <w:bookmarkEnd w:id="668"/>
      <w:bookmarkEnd w:id="669"/>
      <w:bookmarkEnd w:id="670"/>
      <w:bookmarkEnd w:id="671"/>
      <w:bookmarkEnd w:id="672"/>
      <w:bookmarkEnd w:id="673"/>
      <w:bookmarkEnd w:id="674"/>
    </w:p>
    <w:p>
      <w:pPr>
        <w:spacing w:line="240" w:lineRule="auto"/>
        <w:rPr>
          <w:rFonts w:hint="eastAsia" w:eastAsia="宋体"/>
          <w:szCs w:val="21"/>
          <w:highlight w:val="none"/>
          <w:lang w:eastAsia="zh-CN"/>
        </w:rPr>
      </w:pPr>
      <w:r>
        <w:rPr>
          <w:b/>
          <w:szCs w:val="21"/>
          <w:highlight w:val="none"/>
        </w:rPr>
        <w:t>6</w:t>
      </w:r>
      <w:r>
        <w:rPr>
          <w:rFonts w:hint="eastAsia" w:ascii="宋体" w:hAnsi="宋体" w:eastAsia="宋体" w:cs="宋体"/>
          <w:b/>
          <w:szCs w:val="21"/>
          <w:highlight w:val="none"/>
        </w:rPr>
        <w:t>.</w:t>
      </w:r>
      <w:r>
        <w:rPr>
          <w:b/>
          <w:szCs w:val="21"/>
          <w:highlight w:val="none"/>
        </w:rPr>
        <w:t>8</w:t>
      </w:r>
      <w:r>
        <w:rPr>
          <w:rFonts w:hint="eastAsia" w:ascii="宋体" w:hAnsi="宋体" w:eastAsia="宋体" w:cs="宋体"/>
          <w:b/>
          <w:szCs w:val="21"/>
          <w:highlight w:val="none"/>
        </w:rPr>
        <w:t>.</w:t>
      </w:r>
      <w:r>
        <w:rPr>
          <w:b/>
          <w:szCs w:val="21"/>
          <w:highlight w:val="none"/>
        </w:rPr>
        <w:t>1</w:t>
      </w:r>
      <w:r>
        <w:rPr>
          <w:rFonts w:hint="eastAsia"/>
          <w:szCs w:val="21"/>
          <w:highlight w:val="none"/>
        </w:rPr>
        <w:t>-</w:t>
      </w:r>
      <w:r>
        <w:rPr>
          <w:b/>
          <w:szCs w:val="21"/>
          <w:highlight w:val="none"/>
        </w:rPr>
        <w:t>6</w:t>
      </w:r>
      <w:r>
        <w:rPr>
          <w:rFonts w:hint="eastAsia" w:ascii="宋体" w:hAnsi="宋体" w:eastAsia="宋体" w:cs="宋体"/>
          <w:b/>
          <w:szCs w:val="21"/>
          <w:highlight w:val="none"/>
        </w:rPr>
        <w:t>.</w:t>
      </w:r>
      <w:r>
        <w:rPr>
          <w:b/>
          <w:szCs w:val="21"/>
          <w:highlight w:val="none"/>
        </w:rPr>
        <w:t>8</w:t>
      </w:r>
      <w:r>
        <w:rPr>
          <w:rFonts w:hint="eastAsia" w:ascii="宋体" w:hAnsi="宋体" w:eastAsia="宋体" w:cs="宋体"/>
          <w:b/>
          <w:szCs w:val="21"/>
          <w:highlight w:val="none"/>
        </w:rPr>
        <w:t>.</w:t>
      </w:r>
      <w:r>
        <w:rPr>
          <w:b/>
          <w:szCs w:val="21"/>
          <w:highlight w:val="none"/>
        </w:rPr>
        <w:t xml:space="preserve">5 </w:t>
      </w:r>
      <w:r>
        <w:rPr>
          <w:rFonts w:hint="eastAsia"/>
          <w:b/>
          <w:szCs w:val="21"/>
          <w:highlight w:val="none"/>
          <w:lang w:val="en-US" w:eastAsia="zh-CN"/>
        </w:rPr>
        <w:t xml:space="preserve"> </w:t>
      </w:r>
      <w:r>
        <w:rPr>
          <w:rFonts w:hint="eastAsia"/>
          <w:szCs w:val="21"/>
          <w:highlight w:val="none"/>
        </w:rPr>
        <w:t>本条文概述产品检查的目标对象，具体质量检查要求详见</w:t>
      </w:r>
      <w:r>
        <w:rPr>
          <w:rFonts w:hint="eastAsia"/>
          <w:szCs w:val="21"/>
          <w:highlight w:val="none"/>
          <w:lang w:val="en-US" w:eastAsia="zh-CN"/>
        </w:rPr>
        <w:t>深圳市</w:t>
      </w:r>
      <w:r>
        <w:rPr>
          <w:rFonts w:hint="eastAsia"/>
          <w:szCs w:val="21"/>
          <w:highlight w:val="none"/>
        </w:rPr>
        <w:t>《</w:t>
      </w:r>
      <w:r>
        <w:rPr>
          <w:rFonts w:hint="eastAsia"/>
          <w:color w:val="auto"/>
          <w:highlight w:val="none"/>
        </w:rPr>
        <w:t>预制混凝土构件质量</w:t>
      </w:r>
      <w:r>
        <w:rPr>
          <w:rFonts w:hint="eastAsia"/>
          <w:color w:val="auto"/>
          <w:highlight w:val="none"/>
          <w:lang w:val="en-US" w:eastAsia="zh-CN"/>
        </w:rPr>
        <w:t>检验与验收标准</w:t>
      </w:r>
      <w:r>
        <w:rPr>
          <w:rFonts w:hint="eastAsia"/>
          <w:szCs w:val="21"/>
          <w:highlight w:val="none"/>
        </w:rPr>
        <w:t>》</w:t>
      </w:r>
      <w:r>
        <w:rPr>
          <w:rFonts w:hint="eastAsia"/>
          <w:szCs w:val="21"/>
          <w:highlight w:val="none"/>
          <w:lang w:eastAsia="zh-CN"/>
        </w:rPr>
        <w:t>。</w:t>
      </w:r>
    </w:p>
    <w:p>
      <w:pPr>
        <w:spacing w:line="240" w:lineRule="auto"/>
        <w:rPr>
          <w:rFonts w:hint="eastAsia"/>
          <w:szCs w:val="21"/>
          <w:highlight w:val="none"/>
          <w:lang w:val="en-US"/>
        </w:rPr>
      </w:pPr>
      <w:r>
        <w:rPr>
          <w:rFonts w:hint="eastAsia"/>
          <w:b/>
          <w:szCs w:val="21"/>
          <w:highlight w:val="none"/>
        </w:rPr>
        <w:t>6</w:t>
      </w:r>
      <w:r>
        <w:rPr>
          <w:rFonts w:hint="eastAsia" w:ascii="宋体" w:hAnsi="宋体" w:eastAsia="宋体" w:cs="宋体"/>
          <w:b/>
          <w:szCs w:val="21"/>
          <w:highlight w:val="none"/>
        </w:rPr>
        <w:t>.</w:t>
      </w:r>
      <w:r>
        <w:rPr>
          <w:b/>
          <w:szCs w:val="21"/>
          <w:highlight w:val="none"/>
        </w:rPr>
        <w:t>8</w:t>
      </w:r>
      <w:r>
        <w:rPr>
          <w:rFonts w:hint="eastAsia" w:ascii="宋体" w:hAnsi="宋体" w:eastAsia="宋体" w:cs="宋体"/>
          <w:b/>
          <w:szCs w:val="21"/>
          <w:highlight w:val="none"/>
        </w:rPr>
        <w:t>.</w:t>
      </w:r>
      <w:r>
        <w:rPr>
          <w:b/>
          <w:szCs w:val="21"/>
          <w:highlight w:val="none"/>
        </w:rPr>
        <w:t xml:space="preserve">6 </w:t>
      </w:r>
      <w:r>
        <w:rPr>
          <w:rFonts w:hint="eastAsia"/>
          <w:b/>
          <w:szCs w:val="21"/>
          <w:highlight w:val="none"/>
          <w:lang w:val="en-US" w:eastAsia="zh-CN"/>
        </w:rPr>
        <w:t xml:space="preserve"> </w:t>
      </w:r>
      <w:r>
        <w:rPr>
          <w:rFonts w:hint="eastAsia"/>
          <w:szCs w:val="21"/>
          <w:highlight w:val="none"/>
        </w:rPr>
        <w:t>不合格产品应标记明显标志，归类进行独立存放并集中处理。不合格产品存在诸多问题，如影响结构性能的裂缝，严重的破损，钢筋问题、预埋件问题等。不同问题有不同处理方式，标记上应区分清楚，方便定位整改，无法修复或存在严重问题的，应归于报废产品，不得再用。</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rPr>
      </w:pPr>
      <w:bookmarkStart w:id="675" w:name="_Toc117169920"/>
      <w:bookmarkStart w:id="676" w:name="_Toc1018"/>
      <w:bookmarkStart w:id="677" w:name="_Toc27040"/>
      <w:bookmarkStart w:id="678" w:name="_Toc143006988"/>
      <w:bookmarkStart w:id="679" w:name="_Toc116581535"/>
      <w:bookmarkStart w:id="680" w:name="_Toc154586950"/>
      <w:bookmarkStart w:id="681" w:name="_Toc9149"/>
      <w:bookmarkStart w:id="682" w:name="_Toc114470675"/>
      <w:bookmarkStart w:id="683" w:name="_Toc154584904"/>
      <w:bookmarkStart w:id="684" w:name="_Toc116583469"/>
      <w:bookmarkStart w:id="685" w:name="_Toc154586228"/>
      <w:bookmarkStart w:id="686" w:name="_Toc153206016"/>
      <w:r>
        <w:rPr>
          <w:b/>
          <w:szCs w:val="21"/>
          <w:highlight w:val="none"/>
        </w:rPr>
        <w:t>6</w:t>
      </w:r>
      <w:r>
        <w:rPr>
          <w:rFonts w:hint="eastAsia" w:ascii="宋体" w:hAnsi="宋体" w:eastAsia="宋体" w:cs="宋体"/>
          <w:b/>
          <w:szCs w:val="21"/>
          <w:highlight w:val="none"/>
        </w:rPr>
        <w:t>.</w:t>
      </w:r>
      <w:r>
        <w:rPr>
          <w:b/>
          <w:szCs w:val="21"/>
          <w:highlight w:val="none"/>
        </w:rPr>
        <w:t>10</w:t>
      </w:r>
      <w:r>
        <w:rPr>
          <w:rFonts w:hint="eastAsia" w:ascii="黑体" w:hAnsi="黑体" w:eastAsia="黑体" w:cs="黑体"/>
          <w:b w:val="0"/>
          <w:bCs/>
          <w:szCs w:val="21"/>
          <w:highlight w:val="none"/>
          <w:lang w:val="en-US" w:eastAsia="zh-CN" w:bidi="ar"/>
        </w:rPr>
        <w:t xml:space="preserve">  预应力构件</w:t>
      </w:r>
      <w:bookmarkEnd w:id="675"/>
      <w:bookmarkEnd w:id="676"/>
      <w:bookmarkEnd w:id="677"/>
      <w:bookmarkEnd w:id="678"/>
      <w:bookmarkEnd w:id="679"/>
      <w:bookmarkEnd w:id="680"/>
      <w:bookmarkEnd w:id="681"/>
      <w:bookmarkEnd w:id="682"/>
      <w:bookmarkEnd w:id="683"/>
      <w:bookmarkEnd w:id="684"/>
      <w:bookmarkEnd w:id="685"/>
      <w:bookmarkEnd w:id="686"/>
    </w:p>
    <w:p>
      <w:pPr>
        <w:spacing w:line="240" w:lineRule="auto"/>
        <w:rPr>
          <w:rFonts w:hint="eastAsia"/>
          <w:szCs w:val="21"/>
          <w:highlight w:val="none"/>
        </w:rPr>
      </w:pPr>
      <w:r>
        <w:rPr>
          <w:b/>
          <w:bCs/>
          <w:szCs w:val="21"/>
          <w:highlight w:val="none"/>
        </w:rPr>
        <w:t>6</w:t>
      </w:r>
      <w:r>
        <w:rPr>
          <w:rFonts w:hint="eastAsia" w:ascii="宋体" w:hAnsi="宋体" w:eastAsia="宋体" w:cs="宋体"/>
          <w:b/>
          <w:szCs w:val="21"/>
          <w:highlight w:val="none"/>
        </w:rPr>
        <w:t>.</w:t>
      </w:r>
      <w:r>
        <w:rPr>
          <w:b/>
          <w:bCs/>
          <w:szCs w:val="21"/>
          <w:highlight w:val="none"/>
        </w:rPr>
        <w:t>10</w:t>
      </w:r>
      <w:r>
        <w:rPr>
          <w:rFonts w:hint="eastAsia" w:ascii="宋体" w:hAnsi="宋体" w:eastAsia="宋体" w:cs="宋体"/>
          <w:b/>
          <w:szCs w:val="21"/>
          <w:highlight w:val="none"/>
        </w:rPr>
        <w:t>.</w:t>
      </w:r>
      <w:r>
        <w:rPr>
          <w:b/>
          <w:bCs/>
          <w:szCs w:val="21"/>
          <w:highlight w:val="none"/>
        </w:rPr>
        <w:t>1-6</w:t>
      </w:r>
      <w:r>
        <w:rPr>
          <w:rFonts w:hint="eastAsia" w:ascii="宋体" w:hAnsi="宋体" w:eastAsia="宋体" w:cs="宋体"/>
          <w:b/>
          <w:szCs w:val="21"/>
          <w:highlight w:val="none"/>
        </w:rPr>
        <w:t>.</w:t>
      </w:r>
      <w:r>
        <w:rPr>
          <w:b/>
          <w:bCs/>
          <w:szCs w:val="21"/>
          <w:highlight w:val="none"/>
        </w:rPr>
        <w:t>10</w:t>
      </w:r>
      <w:r>
        <w:rPr>
          <w:rFonts w:hint="eastAsia" w:ascii="宋体" w:hAnsi="宋体" w:eastAsia="宋体" w:cs="宋体"/>
          <w:b/>
          <w:szCs w:val="21"/>
          <w:highlight w:val="none"/>
        </w:rPr>
        <w:t>.</w:t>
      </w:r>
      <w:r>
        <w:rPr>
          <w:b/>
          <w:bCs/>
          <w:szCs w:val="21"/>
          <w:highlight w:val="none"/>
        </w:rPr>
        <w:t xml:space="preserve">10 </w:t>
      </w:r>
      <w:r>
        <w:rPr>
          <w:rFonts w:hint="eastAsia"/>
          <w:b/>
          <w:bCs/>
          <w:szCs w:val="21"/>
          <w:highlight w:val="none"/>
          <w:lang w:val="en-US" w:eastAsia="zh-CN"/>
        </w:rPr>
        <w:t xml:space="preserve"> </w:t>
      </w:r>
      <w:r>
        <w:rPr>
          <w:rFonts w:hint="eastAsia"/>
          <w:szCs w:val="21"/>
          <w:highlight w:val="none"/>
        </w:rPr>
        <w:t>因目前深圳市预应力构件的应用实例较少，因此预应力构件的制作暂按国家标准GB</w:t>
      </w:r>
      <w:r>
        <w:rPr>
          <w:rFonts w:hint="eastAsia"/>
          <w:szCs w:val="21"/>
          <w:highlight w:val="none"/>
          <w:lang w:val="en-US" w:eastAsia="zh-CN"/>
        </w:rPr>
        <w:t xml:space="preserve"> </w:t>
      </w:r>
      <w:r>
        <w:rPr>
          <w:rFonts w:hint="eastAsia"/>
          <w:szCs w:val="21"/>
          <w:highlight w:val="none"/>
        </w:rPr>
        <w:t>50666-2011执行。</w:t>
      </w:r>
    </w:p>
    <w:p>
      <w:pPr>
        <w:spacing w:line="240" w:lineRule="auto"/>
        <w:rPr>
          <w:highlight w:val="none"/>
        </w:rPr>
      </w:pPr>
      <w:r>
        <w:rPr>
          <w:highlight w:val="none"/>
        </w:rPr>
        <w:br w:type="page"/>
      </w:r>
    </w:p>
    <w:p>
      <w:pPr>
        <w:keepNext/>
        <w:keepLines/>
        <w:spacing w:before="360" w:after="360" w:line="240" w:lineRule="auto"/>
        <w:jc w:val="center"/>
        <w:outlineLvl w:val="9"/>
        <w:rPr>
          <w:rStyle w:val="23"/>
          <w:rFonts w:hint="eastAsia" w:ascii="宋体" w:hAnsi="宋体" w:eastAsia="宋体"/>
          <w:b w:val="0"/>
          <w:bCs w:val="0"/>
          <w:sz w:val="28"/>
          <w:szCs w:val="28"/>
          <w:highlight w:val="none"/>
        </w:rPr>
      </w:pPr>
      <w:bookmarkStart w:id="687" w:name="_Toc117169921"/>
      <w:bookmarkStart w:id="688" w:name="_Toc116581536"/>
      <w:bookmarkStart w:id="689" w:name="_Toc116583470"/>
      <w:bookmarkStart w:id="690" w:name="_Toc143006989"/>
      <w:bookmarkStart w:id="691" w:name="_Toc154586951"/>
      <w:bookmarkStart w:id="692" w:name="_Toc154586229"/>
      <w:bookmarkStart w:id="693" w:name="_Toc12959"/>
      <w:bookmarkStart w:id="694" w:name="_Toc435"/>
      <w:bookmarkStart w:id="695" w:name="_Toc11540"/>
      <w:bookmarkStart w:id="696" w:name="_Toc153206017"/>
      <w:bookmarkStart w:id="697" w:name="_Toc154584905"/>
      <w:r>
        <w:rPr>
          <w:rStyle w:val="23"/>
          <w:rFonts w:hint="eastAsia" w:ascii="Times New Roman" w:hAnsi="Times New Roman" w:eastAsia="宋体" w:cs="Times New Roman"/>
          <w:b/>
          <w:bCs/>
          <w:sz w:val="28"/>
          <w:szCs w:val="28"/>
          <w:highlight w:val="none"/>
        </w:rPr>
        <w:t>7</w:t>
      </w:r>
      <w:r>
        <w:rPr>
          <w:rStyle w:val="23"/>
          <w:rFonts w:hint="eastAsia" w:ascii="宋体" w:hAnsi="宋体" w:eastAsia="宋体"/>
          <w:b w:val="0"/>
          <w:bCs w:val="0"/>
          <w:sz w:val="28"/>
          <w:szCs w:val="28"/>
          <w:highlight w:val="none"/>
        </w:rPr>
        <w:t xml:space="preserve"> </w:t>
      </w:r>
      <w:bookmarkEnd w:id="687"/>
      <w:bookmarkEnd w:id="688"/>
      <w:bookmarkEnd w:id="689"/>
      <w:bookmarkEnd w:id="690"/>
      <w:r>
        <w:rPr>
          <w:rStyle w:val="23"/>
          <w:rFonts w:hint="eastAsia" w:ascii="宋体" w:hAnsi="宋体"/>
          <w:b w:val="0"/>
          <w:bCs w:val="0"/>
          <w:sz w:val="28"/>
          <w:szCs w:val="28"/>
          <w:highlight w:val="none"/>
          <w:lang w:val="en-US" w:eastAsia="zh-CN"/>
        </w:rPr>
        <w:t xml:space="preserve"> </w:t>
      </w:r>
      <w:r>
        <w:rPr>
          <w:rStyle w:val="23"/>
          <w:rFonts w:hint="eastAsia" w:ascii="宋体" w:hAnsi="宋体" w:eastAsia="宋体"/>
          <w:b w:val="0"/>
          <w:bCs w:val="0"/>
          <w:sz w:val="28"/>
          <w:szCs w:val="28"/>
          <w:highlight w:val="none"/>
        </w:rPr>
        <w:t>运</w:t>
      </w:r>
      <w:r>
        <w:rPr>
          <w:rStyle w:val="23"/>
          <w:rFonts w:hint="eastAsia" w:ascii="宋体" w:hAnsi="宋体"/>
          <w:b w:val="0"/>
          <w:bCs w:val="0"/>
          <w:sz w:val="28"/>
          <w:szCs w:val="28"/>
          <w:highlight w:val="none"/>
          <w:lang w:val="en-US" w:eastAsia="zh-CN"/>
        </w:rPr>
        <w:t xml:space="preserve">    </w:t>
      </w:r>
      <w:r>
        <w:rPr>
          <w:rStyle w:val="23"/>
          <w:rFonts w:hint="eastAsia" w:ascii="宋体" w:hAnsi="宋体" w:eastAsia="宋体"/>
          <w:b w:val="0"/>
          <w:bCs w:val="0"/>
          <w:sz w:val="28"/>
          <w:szCs w:val="28"/>
          <w:highlight w:val="none"/>
        </w:rPr>
        <w:t>输</w:t>
      </w:r>
      <w:bookmarkEnd w:id="691"/>
      <w:bookmarkEnd w:id="692"/>
      <w:bookmarkEnd w:id="693"/>
      <w:bookmarkEnd w:id="694"/>
      <w:bookmarkEnd w:id="695"/>
      <w:bookmarkEnd w:id="696"/>
      <w:bookmarkEnd w:id="697"/>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lang w:bidi="ar"/>
        </w:rPr>
      </w:pPr>
      <w:bookmarkStart w:id="698" w:name="_Toc153206018"/>
      <w:bookmarkStart w:id="699" w:name="_Toc154586230"/>
      <w:bookmarkStart w:id="700" w:name="_Toc154586952"/>
      <w:bookmarkStart w:id="701" w:name="_Toc5731"/>
      <w:bookmarkStart w:id="702" w:name="_Toc28103"/>
      <w:bookmarkStart w:id="703" w:name="_Toc9018"/>
      <w:bookmarkStart w:id="704" w:name="_Toc154584906"/>
      <w:bookmarkStart w:id="705" w:name="_Toc116581538"/>
      <w:bookmarkStart w:id="706" w:name="_Toc116583472"/>
      <w:bookmarkStart w:id="707" w:name="_Toc137196035"/>
      <w:bookmarkStart w:id="708" w:name="_Toc117169923"/>
      <w:bookmarkStart w:id="709" w:name="_Toc143006990"/>
      <w:bookmarkStart w:id="710" w:name="_Toc116581540"/>
      <w:bookmarkStart w:id="711" w:name="_Toc116583474"/>
      <w:bookmarkStart w:id="712" w:name="_Toc117169925"/>
      <w:r>
        <w:rPr>
          <w:rFonts w:hint="eastAsia"/>
          <w:b/>
          <w:szCs w:val="21"/>
          <w:highlight w:val="none"/>
          <w:lang w:bidi="ar"/>
        </w:rPr>
        <w:t>7</w:t>
      </w:r>
      <w:r>
        <w:rPr>
          <w:rFonts w:hint="eastAsia" w:ascii="宋体" w:hAnsi="宋体" w:eastAsia="宋体" w:cs="宋体"/>
          <w:b/>
          <w:szCs w:val="21"/>
          <w:highlight w:val="none"/>
          <w:lang w:bidi="ar"/>
        </w:rPr>
        <w:t>.</w:t>
      </w:r>
      <w:r>
        <w:rPr>
          <w:rFonts w:hint="eastAsia"/>
          <w:b/>
          <w:szCs w:val="21"/>
          <w:highlight w:val="none"/>
          <w:lang w:bidi="ar"/>
        </w:rPr>
        <w:t>1</w:t>
      </w:r>
      <w:r>
        <w:rPr>
          <w:rFonts w:hint="eastAsia" w:ascii="黑体" w:hAnsi="黑体" w:eastAsia="黑体" w:cs="黑体"/>
          <w:b w:val="0"/>
          <w:bCs/>
          <w:szCs w:val="21"/>
          <w:highlight w:val="none"/>
          <w:lang w:val="en-US" w:eastAsia="zh-CN" w:bidi="ar"/>
        </w:rPr>
        <w:t xml:space="preserve">  一 般 规 定</w:t>
      </w:r>
      <w:bookmarkEnd w:id="698"/>
      <w:bookmarkEnd w:id="699"/>
      <w:bookmarkEnd w:id="700"/>
      <w:bookmarkEnd w:id="701"/>
      <w:bookmarkEnd w:id="702"/>
      <w:bookmarkEnd w:id="703"/>
      <w:bookmarkEnd w:id="704"/>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rPr>
        <w:t>1</w:t>
      </w:r>
      <w:r>
        <w:rPr>
          <w:rFonts w:hint="eastAsia" w:ascii="宋体" w:hAnsi="宋体" w:eastAsia="宋体" w:cs="宋体"/>
          <w:b/>
          <w:szCs w:val="21"/>
          <w:highlight w:val="none"/>
        </w:rPr>
        <w:t>.</w:t>
      </w:r>
      <w:r>
        <w:rPr>
          <w:rFonts w:hint="eastAsia"/>
          <w:b/>
          <w:szCs w:val="21"/>
          <w:highlight w:val="none"/>
        </w:rPr>
        <w:t>5</w:t>
      </w:r>
      <w:r>
        <w:rPr>
          <w:b/>
          <w:szCs w:val="21"/>
          <w:highlight w:val="none"/>
        </w:rPr>
        <w:t xml:space="preserve"> </w:t>
      </w:r>
      <w:r>
        <w:rPr>
          <w:rFonts w:hint="eastAsia"/>
          <w:b/>
          <w:szCs w:val="21"/>
          <w:highlight w:val="none"/>
          <w:lang w:val="en-US" w:eastAsia="zh-CN"/>
        </w:rPr>
        <w:t xml:space="preserve"> </w:t>
      </w:r>
      <w:r>
        <w:rPr>
          <w:rFonts w:hint="eastAsia"/>
          <w:szCs w:val="21"/>
          <w:highlight w:val="none"/>
        </w:rPr>
        <w:t>构件装车卸车时应离车辆1~2米内设置警示标示以提醒周边人员</w:t>
      </w:r>
      <w:r>
        <w:rPr>
          <w:rFonts w:hint="eastAsia"/>
          <w:szCs w:val="21"/>
          <w:highlight w:val="none"/>
          <w:lang w:eastAsia="zh-CN"/>
        </w:rPr>
        <w:t>，</w:t>
      </w:r>
      <w:r>
        <w:rPr>
          <w:rFonts w:hint="eastAsia"/>
          <w:szCs w:val="21"/>
          <w:highlight w:val="none"/>
        </w:rPr>
        <w:t>严禁无关人员进入该区域内。</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lang w:bidi="ar"/>
        </w:rPr>
      </w:pPr>
      <w:bookmarkStart w:id="713" w:name="_Toc28752"/>
      <w:bookmarkStart w:id="714" w:name="_Toc153206019"/>
      <w:bookmarkStart w:id="715" w:name="_Toc22421"/>
      <w:bookmarkStart w:id="716" w:name="_Toc154586231"/>
      <w:bookmarkStart w:id="717" w:name="_Toc154586953"/>
      <w:bookmarkStart w:id="718" w:name="_Toc28309"/>
      <w:bookmarkStart w:id="719" w:name="_Toc154584907"/>
      <w:r>
        <w:rPr>
          <w:rFonts w:hint="eastAsia"/>
          <w:b/>
          <w:szCs w:val="21"/>
          <w:highlight w:val="none"/>
          <w:lang w:bidi="ar"/>
        </w:rPr>
        <w:t>7</w:t>
      </w:r>
      <w:r>
        <w:rPr>
          <w:rFonts w:hint="eastAsia" w:ascii="宋体" w:hAnsi="宋体" w:eastAsia="宋体" w:cs="宋体"/>
          <w:b/>
          <w:szCs w:val="21"/>
          <w:highlight w:val="none"/>
          <w:lang w:bidi="ar"/>
        </w:rPr>
        <w:t>.</w:t>
      </w:r>
      <w:r>
        <w:rPr>
          <w:b/>
          <w:szCs w:val="21"/>
          <w:highlight w:val="none"/>
          <w:lang w:bidi="ar"/>
        </w:rPr>
        <w:t>2</w:t>
      </w:r>
      <w:bookmarkEnd w:id="705"/>
      <w:bookmarkEnd w:id="706"/>
      <w:bookmarkEnd w:id="707"/>
      <w:bookmarkEnd w:id="708"/>
      <w:bookmarkEnd w:id="709"/>
      <w:r>
        <w:rPr>
          <w:rFonts w:hint="eastAsia" w:ascii="黑体" w:hAnsi="黑体" w:eastAsia="黑体" w:cs="黑体"/>
          <w:b w:val="0"/>
          <w:bCs/>
          <w:szCs w:val="21"/>
          <w:highlight w:val="none"/>
          <w:lang w:val="en-US" w:eastAsia="zh-CN" w:bidi="ar"/>
        </w:rPr>
        <w:t xml:space="preserve">  运 输 准 备</w:t>
      </w:r>
      <w:bookmarkEnd w:id="713"/>
      <w:bookmarkEnd w:id="714"/>
      <w:bookmarkEnd w:id="715"/>
      <w:bookmarkEnd w:id="716"/>
      <w:bookmarkEnd w:id="717"/>
      <w:bookmarkEnd w:id="718"/>
      <w:bookmarkEnd w:id="719"/>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rPr>
        <w:t>2</w:t>
      </w:r>
      <w:r>
        <w:rPr>
          <w:rFonts w:hint="eastAsia" w:ascii="宋体" w:hAnsi="宋体" w:eastAsia="宋体" w:cs="宋体"/>
          <w:b/>
          <w:szCs w:val="21"/>
          <w:highlight w:val="none"/>
        </w:rPr>
        <w:t>.</w:t>
      </w:r>
      <w:r>
        <w:rPr>
          <w:rFonts w:hint="eastAsia"/>
          <w:b/>
          <w:szCs w:val="21"/>
          <w:highlight w:val="none"/>
        </w:rPr>
        <w:t>3</w:t>
      </w:r>
      <w:r>
        <w:rPr>
          <w:highlight w:val="none"/>
        </w:rPr>
        <w:t xml:space="preserve"> </w:t>
      </w:r>
      <w:r>
        <w:rPr>
          <w:rFonts w:hint="eastAsia"/>
          <w:highlight w:val="none"/>
          <w:lang w:val="en-US" w:eastAsia="zh-CN"/>
        </w:rPr>
        <w:t xml:space="preserve"> </w:t>
      </w:r>
      <w:r>
        <w:rPr>
          <w:rFonts w:hint="eastAsia"/>
          <w:szCs w:val="21"/>
          <w:highlight w:val="none"/>
        </w:rPr>
        <w:t>明确产品装卸要求，设计起吊方案，定制装卸所需的起吊设备和起吊吊具，吊具需要有检验报告；根据不同构件及吊装区域进行产品排车及卸货。</w:t>
      </w:r>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rPr>
        <w:t>2</w:t>
      </w:r>
      <w:r>
        <w:rPr>
          <w:rFonts w:hint="eastAsia" w:ascii="宋体" w:hAnsi="宋体" w:eastAsia="宋体" w:cs="宋体"/>
          <w:b/>
          <w:szCs w:val="21"/>
          <w:highlight w:val="none"/>
        </w:rPr>
        <w:t>.</w:t>
      </w:r>
      <w:r>
        <w:rPr>
          <w:rFonts w:hint="eastAsia"/>
          <w:b/>
          <w:szCs w:val="21"/>
          <w:highlight w:val="none"/>
        </w:rPr>
        <w:t>5</w:t>
      </w:r>
      <w:r>
        <w:rPr>
          <w:szCs w:val="21"/>
          <w:highlight w:val="none"/>
        </w:rPr>
        <w:t xml:space="preserve"> </w:t>
      </w:r>
      <w:r>
        <w:rPr>
          <w:rFonts w:hint="eastAsia"/>
          <w:szCs w:val="21"/>
          <w:highlight w:val="none"/>
          <w:lang w:val="en-US" w:eastAsia="zh-CN"/>
        </w:rPr>
        <w:t xml:space="preserve"> </w:t>
      </w:r>
      <w:r>
        <w:rPr>
          <w:rFonts w:hint="eastAsia"/>
          <w:szCs w:val="21"/>
          <w:highlight w:val="none"/>
        </w:rPr>
        <w:t>运输座架、车厢板和预制混凝土构件间应设置柔性材料，预制混凝土构件边角和锁链接触部位的混凝土应采用柔性垫衬材料进行保护。</w:t>
      </w:r>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rPr>
        <w:t>2</w:t>
      </w:r>
      <w:r>
        <w:rPr>
          <w:rFonts w:hint="eastAsia" w:ascii="宋体" w:hAnsi="宋体" w:eastAsia="宋体" w:cs="宋体"/>
          <w:b/>
          <w:szCs w:val="21"/>
          <w:highlight w:val="none"/>
        </w:rPr>
        <w:t>.</w:t>
      </w:r>
      <w:r>
        <w:rPr>
          <w:rFonts w:hint="eastAsia"/>
          <w:b/>
          <w:szCs w:val="21"/>
          <w:highlight w:val="none"/>
        </w:rPr>
        <w:t>7</w:t>
      </w:r>
      <w:r>
        <w:rPr>
          <w:szCs w:val="21"/>
          <w:highlight w:val="none"/>
        </w:rPr>
        <w:t xml:space="preserve"> </w:t>
      </w:r>
      <w:r>
        <w:rPr>
          <w:rFonts w:hint="eastAsia"/>
          <w:szCs w:val="21"/>
          <w:highlight w:val="none"/>
          <w:lang w:val="en-US" w:eastAsia="zh-CN"/>
        </w:rPr>
        <w:t xml:space="preserve"> </w:t>
      </w:r>
      <w:r>
        <w:rPr>
          <w:rFonts w:hint="eastAsia"/>
          <w:szCs w:val="21"/>
          <w:highlight w:val="none"/>
        </w:rPr>
        <w:t>严禁使用钢丝绳表面出现拉丝、断丝、炸丝等现象。</w:t>
      </w:r>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rPr>
        <w:t>2</w:t>
      </w:r>
      <w:r>
        <w:rPr>
          <w:rFonts w:hint="eastAsia" w:ascii="宋体" w:hAnsi="宋体" w:eastAsia="宋体" w:cs="宋体"/>
          <w:b/>
          <w:szCs w:val="21"/>
          <w:highlight w:val="none"/>
        </w:rPr>
        <w:t>.</w:t>
      </w:r>
      <w:r>
        <w:rPr>
          <w:rFonts w:hint="eastAsia"/>
          <w:b/>
          <w:szCs w:val="21"/>
          <w:highlight w:val="none"/>
        </w:rPr>
        <w:t>9</w:t>
      </w:r>
      <w:r>
        <w:rPr>
          <w:highlight w:val="none"/>
        </w:rPr>
        <w:t xml:space="preserve"> </w:t>
      </w:r>
      <w:r>
        <w:rPr>
          <w:rFonts w:hint="eastAsia"/>
          <w:highlight w:val="none"/>
          <w:lang w:val="en-US" w:eastAsia="zh-CN"/>
        </w:rPr>
        <w:t xml:space="preserve"> </w:t>
      </w:r>
      <w:r>
        <w:rPr>
          <w:rFonts w:hint="eastAsia"/>
          <w:szCs w:val="21"/>
          <w:highlight w:val="none"/>
        </w:rPr>
        <w:t>构件运输线路须事前与货车驾驶员共同勘察，有无过街桥梁、隧道、电线等对高度的限制，有无大车无法转弯的急弯或限制重量的桥梁等问题，以避免出现因构件尺寸问题而无法通过该路段。</w:t>
      </w:r>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lang w:val="en-US" w:eastAsia="zh-CN"/>
        </w:rPr>
        <w:t>2</w:t>
      </w:r>
      <w:r>
        <w:rPr>
          <w:rFonts w:hint="eastAsia" w:ascii="宋体" w:hAnsi="宋体" w:eastAsia="宋体" w:cs="宋体"/>
          <w:b/>
          <w:szCs w:val="21"/>
          <w:highlight w:val="none"/>
        </w:rPr>
        <w:t>.</w:t>
      </w:r>
      <w:r>
        <w:rPr>
          <w:rFonts w:hint="eastAsia"/>
          <w:b/>
          <w:szCs w:val="21"/>
          <w:highlight w:val="none"/>
          <w:lang w:val="en-US" w:eastAsia="zh-CN"/>
        </w:rPr>
        <w:t>10</w:t>
      </w:r>
      <w:r>
        <w:rPr>
          <w:b/>
          <w:szCs w:val="21"/>
          <w:highlight w:val="none"/>
        </w:rPr>
        <w:t xml:space="preserve"> </w:t>
      </w:r>
      <w:r>
        <w:rPr>
          <w:rFonts w:hint="eastAsia"/>
          <w:b/>
          <w:szCs w:val="21"/>
          <w:highlight w:val="none"/>
          <w:lang w:val="en-US" w:eastAsia="zh-CN"/>
        </w:rPr>
        <w:t xml:space="preserve"> </w:t>
      </w:r>
      <w:r>
        <w:rPr>
          <w:rFonts w:hint="eastAsia"/>
          <w:szCs w:val="21"/>
          <w:highlight w:val="none"/>
          <w:lang w:val="en-US" w:eastAsia="zh-CN"/>
        </w:rPr>
        <w:t>通过在运输车辆上安装GPS等接收器，管理人员可以实时监测和查看运输车辆的位置信息和运行状态，一旦出现异常情况，管理人员能够迅速作出反应，采取适当的措施，确保运输过程的安全可靠</w:t>
      </w:r>
      <w:r>
        <w:rPr>
          <w:rFonts w:hint="eastAsia"/>
          <w:szCs w:val="21"/>
          <w:highlight w:val="none"/>
        </w:rPr>
        <w:t>。</w:t>
      </w:r>
    </w:p>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lang w:bidi="ar"/>
        </w:rPr>
      </w:pPr>
      <w:bookmarkStart w:id="720" w:name="_Toc154586232"/>
      <w:bookmarkStart w:id="721" w:name="_Toc154584908"/>
      <w:bookmarkStart w:id="722" w:name="_Toc154586954"/>
      <w:bookmarkStart w:id="723" w:name="_Toc11552"/>
      <w:bookmarkStart w:id="724" w:name="_Toc22607"/>
      <w:bookmarkStart w:id="725" w:name="_Toc153206020"/>
      <w:bookmarkStart w:id="726" w:name="_Toc5614"/>
      <w:r>
        <w:rPr>
          <w:rFonts w:hint="eastAsia"/>
          <w:b/>
          <w:szCs w:val="21"/>
          <w:highlight w:val="none"/>
          <w:lang w:bidi="ar"/>
        </w:rPr>
        <w:t>7</w:t>
      </w:r>
      <w:r>
        <w:rPr>
          <w:rFonts w:hint="eastAsia" w:ascii="宋体" w:hAnsi="宋体" w:eastAsia="宋体" w:cs="宋体"/>
          <w:b/>
          <w:szCs w:val="21"/>
          <w:highlight w:val="none"/>
          <w:lang w:bidi="ar"/>
        </w:rPr>
        <w:t>.</w:t>
      </w:r>
      <w:r>
        <w:rPr>
          <w:rFonts w:hint="eastAsia"/>
          <w:b/>
          <w:szCs w:val="21"/>
          <w:highlight w:val="none"/>
          <w:lang w:bidi="ar"/>
        </w:rPr>
        <w:t>4</w:t>
      </w:r>
      <w:r>
        <w:rPr>
          <w:rFonts w:hint="eastAsia" w:ascii="黑体" w:hAnsi="黑体" w:eastAsia="黑体" w:cs="黑体"/>
          <w:b w:val="0"/>
          <w:bCs/>
          <w:szCs w:val="21"/>
          <w:highlight w:val="none"/>
          <w:lang w:val="en-US" w:eastAsia="zh-CN" w:bidi="ar"/>
        </w:rPr>
        <w:t xml:space="preserve">  装    车</w:t>
      </w:r>
      <w:bookmarkEnd w:id="720"/>
      <w:bookmarkEnd w:id="721"/>
      <w:bookmarkEnd w:id="722"/>
      <w:bookmarkEnd w:id="723"/>
      <w:bookmarkEnd w:id="724"/>
      <w:bookmarkEnd w:id="725"/>
      <w:bookmarkEnd w:id="726"/>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rPr>
        <w:t>4</w:t>
      </w:r>
      <w:r>
        <w:rPr>
          <w:rFonts w:hint="eastAsia" w:ascii="宋体" w:hAnsi="宋体" w:eastAsia="宋体" w:cs="宋体"/>
          <w:b/>
          <w:szCs w:val="21"/>
          <w:highlight w:val="none"/>
        </w:rPr>
        <w:t>.</w:t>
      </w:r>
      <w:r>
        <w:rPr>
          <w:rFonts w:hint="eastAsia"/>
          <w:b/>
          <w:szCs w:val="21"/>
          <w:highlight w:val="none"/>
        </w:rPr>
        <w:t xml:space="preserve">11 </w:t>
      </w:r>
      <w:r>
        <w:rPr>
          <w:rFonts w:hint="eastAsia"/>
          <w:b/>
          <w:szCs w:val="21"/>
          <w:highlight w:val="none"/>
          <w:lang w:val="en-US" w:eastAsia="zh-CN"/>
        </w:rPr>
        <w:t xml:space="preserve"> </w:t>
      </w:r>
      <w:r>
        <w:rPr>
          <w:rFonts w:hint="eastAsia"/>
          <w:szCs w:val="21"/>
          <w:highlight w:val="none"/>
        </w:rPr>
        <w:t>装车时，构件之间、构件与座架之间、构件与钢丝绳之间必须用垫木或橡胶垫隔离，是以防构件因转弯、道路颠簸等因素导致直接接触而损伤涂层和摩擦面。</w:t>
      </w:r>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rPr>
        <w:t>4</w:t>
      </w:r>
      <w:r>
        <w:rPr>
          <w:rFonts w:hint="eastAsia" w:ascii="宋体" w:hAnsi="宋体" w:eastAsia="宋体" w:cs="宋体"/>
          <w:b/>
          <w:szCs w:val="21"/>
          <w:highlight w:val="none"/>
        </w:rPr>
        <w:t>.</w:t>
      </w:r>
      <w:r>
        <w:rPr>
          <w:rFonts w:hint="eastAsia"/>
          <w:b/>
          <w:szCs w:val="21"/>
          <w:highlight w:val="none"/>
        </w:rPr>
        <w:t>14</w:t>
      </w:r>
      <w:r>
        <w:rPr>
          <w:szCs w:val="21"/>
          <w:highlight w:val="none"/>
        </w:rPr>
        <w:t xml:space="preserve"> </w:t>
      </w:r>
      <w:r>
        <w:rPr>
          <w:rFonts w:hint="eastAsia"/>
          <w:szCs w:val="21"/>
          <w:highlight w:val="none"/>
          <w:lang w:val="en-US" w:eastAsia="zh-CN"/>
        </w:rPr>
        <w:t xml:space="preserve"> </w:t>
      </w:r>
      <w:r>
        <w:rPr>
          <w:rFonts w:hint="eastAsia"/>
          <w:szCs w:val="21"/>
          <w:highlight w:val="none"/>
        </w:rPr>
        <w:t>遇到特殊情况的预制混凝土构件必须制定详细的吊装运输方案，比如超高的大型外墙板，装车运输时只能选择平放运输后翻转立起吊装。</w:t>
      </w:r>
    </w:p>
    <w:bookmarkEnd w:id="710"/>
    <w:bookmarkEnd w:id="711"/>
    <w:bookmarkEnd w:id="712"/>
    <w:p>
      <w:pPr>
        <w:keepNext/>
        <w:keepLines/>
        <w:pageBreakBefore w:val="0"/>
        <w:widowControl w:val="0"/>
        <w:kinsoku/>
        <w:wordWrap/>
        <w:overflowPunct/>
        <w:topLinePunct w:val="0"/>
        <w:autoSpaceDE/>
        <w:autoSpaceDN/>
        <w:bidi w:val="0"/>
        <w:adjustRightInd/>
        <w:snapToGrid/>
        <w:spacing w:before="240" w:after="240" w:line="240" w:lineRule="auto"/>
        <w:jc w:val="center"/>
        <w:textAlignment w:val="auto"/>
        <w:outlineLvl w:val="9"/>
        <w:rPr>
          <w:b/>
          <w:szCs w:val="21"/>
          <w:highlight w:val="none"/>
          <w:lang w:bidi="ar"/>
        </w:rPr>
      </w:pPr>
      <w:bookmarkStart w:id="727" w:name="_Toc143006994"/>
      <w:bookmarkStart w:id="728" w:name="_Toc137196039"/>
      <w:bookmarkStart w:id="729" w:name="_Toc116583476"/>
      <w:bookmarkStart w:id="730" w:name="_Toc116581542"/>
      <w:bookmarkStart w:id="731" w:name="_Toc117169927"/>
      <w:bookmarkStart w:id="732" w:name="_Toc154586233"/>
      <w:bookmarkStart w:id="733" w:name="_Toc154586955"/>
      <w:bookmarkStart w:id="734" w:name="_Toc23638"/>
      <w:bookmarkStart w:id="735" w:name="_Toc154584909"/>
      <w:bookmarkStart w:id="736" w:name="_Toc3555"/>
      <w:bookmarkStart w:id="737" w:name="_Toc27666"/>
      <w:bookmarkStart w:id="738" w:name="_Toc153206021"/>
      <w:r>
        <w:rPr>
          <w:rFonts w:hint="eastAsia"/>
          <w:b/>
          <w:szCs w:val="21"/>
          <w:highlight w:val="none"/>
          <w:lang w:bidi="ar"/>
        </w:rPr>
        <w:t>7</w:t>
      </w:r>
      <w:r>
        <w:rPr>
          <w:rFonts w:hint="eastAsia" w:ascii="宋体" w:hAnsi="宋体" w:eastAsia="宋体" w:cs="宋体"/>
          <w:b/>
          <w:szCs w:val="21"/>
          <w:highlight w:val="none"/>
          <w:lang w:bidi="ar"/>
        </w:rPr>
        <w:t>.</w:t>
      </w:r>
      <w:r>
        <w:rPr>
          <w:rFonts w:hint="eastAsia"/>
          <w:b/>
          <w:szCs w:val="21"/>
          <w:highlight w:val="none"/>
          <w:lang w:bidi="ar"/>
        </w:rPr>
        <w:t>6</w:t>
      </w:r>
      <w:bookmarkEnd w:id="727"/>
      <w:bookmarkEnd w:id="728"/>
      <w:bookmarkEnd w:id="729"/>
      <w:bookmarkEnd w:id="730"/>
      <w:bookmarkEnd w:id="731"/>
      <w:r>
        <w:rPr>
          <w:rFonts w:hint="eastAsia" w:ascii="黑体" w:hAnsi="黑体" w:eastAsia="黑体" w:cs="黑体"/>
          <w:b w:val="0"/>
          <w:bCs/>
          <w:szCs w:val="21"/>
          <w:highlight w:val="none"/>
          <w:lang w:val="en-US" w:eastAsia="zh-CN" w:bidi="ar"/>
        </w:rPr>
        <w:t xml:space="preserve">  卸    车</w:t>
      </w:r>
      <w:bookmarkEnd w:id="732"/>
      <w:bookmarkEnd w:id="733"/>
      <w:bookmarkEnd w:id="734"/>
      <w:bookmarkEnd w:id="735"/>
      <w:bookmarkEnd w:id="736"/>
      <w:bookmarkEnd w:id="737"/>
      <w:bookmarkEnd w:id="738"/>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rPr>
        <w:t>6</w:t>
      </w:r>
      <w:r>
        <w:rPr>
          <w:rFonts w:hint="eastAsia" w:ascii="宋体" w:hAnsi="宋体" w:eastAsia="宋体" w:cs="宋体"/>
          <w:b/>
          <w:szCs w:val="21"/>
          <w:highlight w:val="none"/>
        </w:rPr>
        <w:t>.</w:t>
      </w:r>
      <w:r>
        <w:rPr>
          <w:rFonts w:hint="eastAsia"/>
          <w:b/>
          <w:szCs w:val="21"/>
          <w:highlight w:val="none"/>
        </w:rPr>
        <w:t>4</w:t>
      </w:r>
      <w:r>
        <w:rPr>
          <w:highlight w:val="none"/>
        </w:rPr>
        <w:t xml:space="preserve">  </w:t>
      </w:r>
      <w:r>
        <w:rPr>
          <w:rFonts w:hint="eastAsia"/>
          <w:szCs w:val="21"/>
          <w:highlight w:val="none"/>
        </w:rPr>
        <w:t>“即吊即走”方案为预制混凝土构件车辆运输到项目现场后，直接开始吊装；</w:t>
      </w:r>
    </w:p>
    <w:p>
      <w:pPr>
        <w:keepNext w:val="0"/>
        <w:keepLines w:val="0"/>
        <w:pageBreakBefore w:val="0"/>
        <w:widowControl w:val="0"/>
        <w:kinsoku/>
        <w:wordWrap/>
        <w:overflowPunct/>
        <w:topLinePunct w:val="0"/>
        <w:autoSpaceDE/>
        <w:autoSpaceDN/>
        <w:bidi w:val="0"/>
        <w:adjustRightInd/>
        <w:snapToGrid/>
        <w:spacing w:line="240" w:lineRule="auto"/>
        <w:ind w:firstLine="735" w:firstLineChars="350"/>
        <w:textAlignment w:val="auto"/>
        <w:rPr>
          <w:rFonts w:hint="eastAsia"/>
          <w:szCs w:val="21"/>
          <w:highlight w:val="none"/>
        </w:rPr>
      </w:pPr>
      <w:r>
        <w:rPr>
          <w:rFonts w:hint="eastAsia"/>
          <w:szCs w:val="21"/>
          <w:highlight w:val="none"/>
        </w:rPr>
        <w:t>“现场存放”方案为项目现场已划分预制混凝土构件存放区域，运输车辆抵达项目现场后将车辆</w:t>
      </w:r>
      <w:r>
        <w:rPr>
          <w:highlight w:val="none"/>
        </w:rPr>
        <w:t>停至</w:t>
      </w:r>
      <w:r>
        <w:rPr>
          <w:rFonts w:hint="eastAsia"/>
          <w:szCs w:val="21"/>
          <w:highlight w:val="none"/>
        </w:rPr>
        <w:t>卸车区域等待卸货或将半挂平板停至构件存放区域即可，车头则返回构件生产单位。</w:t>
      </w:r>
    </w:p>
    <w:p>
      <w:pPr>
        <w:spacing w:line="240" w:lineRule="auto"/>
        <w:rPr>
          <w:rFonts w:hint="eastAsia"/>
          <w:szCs w:val="21"/>
          <w:highlight w:val="none"/>
        </w:rPr>
      </w:pPr>
      <w:r>
        <w:rPr>
          <w:rFonts w:hint="eastAsia"/>
          <w:b/>
          <w:szCs w:val="21"/>
          <w:highlight w:val="none"/>
        </w:rPr>
        <w:t>7</w:t>
      </w:r>
      <w:r>
        <w:rPr>
          <w:rFonts w:hint="eastAsia" w:ascii="宋体" w:hAnsi="宋体" w:eastAsia="宋体" w:cs="宋体"/>
          <w:b/>
          <w:szCs w:val="21"/>
          <w:highlight w:val="none"/>
        </w:rPr>
        <w:t>.</w:t>
      </w:r>
      <w:r>
        <w:rPr>
          <w:rFonts w:hint="eastAsia"/>
          <w:b/>
          <w:szCs w:val="21"/>
          <w:highlight w:val="none"/>
        </w:rPr>
        <w:t>6</w:t>
      </w:r>
      <w:r>
        <w:rPr>
          <w:rFonts w:hint="eastAsia" w:ascii="宋体" w:hAnsi="宋体" w:eastAsia="宋体" w:cs="宋体"/>
          <w:b/>
          <w:szCs w:val="21"/>
          <w:highlight w:val="none"/>
        </w:rPr>
        <w:t>.</w:t>
      </w:r>
      <w:r>
        <w:rPr>
          <w:rFonts w:hint="eastAsia"/>
          <w:b/>
          <w:szCs w:val="21"/>
          <w:highlight w:val="none"/>
        </w:rPr>
        <w:t>13</w:t>
      </w:r>
      <w:r>
        <w:rPr>
          <w:highlight w:val="none"/>
        </w:rPr>
        <w:t xml:space="preserve"> </w:t>
      </w:r>
      <w:r>
        <w:rPr>
          <w:rFonts w:hint="eastAsia"/>
          <w:highlight w:val="none"/>
          <w:lang w:val="en-US" w:eastAsia="zh-CN"/>
        </w:rPr>
        <w:t xml:space="preserve"> </w:t>
      </w:r>
      <w:r>
        <w:rPr>
          <w:rFonts w:hint="eastAsia"/>
          <w:szCs w:val="21"/>
          <w:highlight w:val="none"/>
        </w:rPr>
        <w:t>为保证首批预制混凝土构件运输、吊装的顺利完成，构件生产单位须派遣至少一名技术专人和运输车辆一同前往。</w:t>
      </w:r>
    </w:p>
    <w:p>
      <w:pPr>
        <w:spacing w:line="240" w:lineRule="auto"/>
        <w:rPr>
          <w:highlight w:val="none"/>
        </w:rPr>
      </w:pPr>
    </w:p>
    <w:sectPr>
      <w:pgSz w:w="11906" w:h="16838"/>
      <w:pgMar w:top="1610" w:right="1349" w:bottom="1213" w:left="1293" w:header="851" w:footer="992" w:gutter="0"/>
      <w:pgBorders>
        <w:top w:val="none" w:sz="0" w:space="0"/>
        <w:left w:val="none" w:sz="0" w:space="0"/>
        <w:bottom w:val="none" w:sz="0" w:space="0"/>
        <w:right w:val="none" w:sz="0" w:space="0"/>
      </w:pgBorders>
      <w:cols w:space="425" w:num="1"/>
      <w:docGrid w:type="lines" w:linePitch="333" w:charSpace="4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华文仿宋"/>
    <w:panose1 w:val="02010600030101010101"/>
    <w:charset w:val="86"/>
    <w:family w:val="auto"/>
    <w:pitch w:val="default"/>
    <w:sig w:usb0="00000000" w:usb1="00000000" w:usb2="00000016" w:usb3="00000000" w:csb0="0004000F" w:csb1="00000000"/>
  </w:font>
  <w:font w:name="等线">
    <w:altName w:val="华文仿宋"/>
    <w:panose1 w:val="02010600030101010101"/>
    <w:charset w:val="86"/>
    <w:family w:val="auto"/>
    <w:pitch w:val="default"/>
    <w:sig w:usb0="00000000" w:usb1="00000000" w:usb2="00000016" w:usb3="00000000" w:csb0="0004000F" w:csb1="00000000"/>
  </w:font>
  <w:font w:name="黑体e眠副浡渀.">
    <w:altName w:val="方正黑体_GBK"/>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auto"/>
    <w:pitch w:val="default"/>
    <w:sig w:usb0="00000000" w:usb1="00000000" w:usb2="00000029" w:usb3="00000000" w:csb0="200101FF" w:csb1="20280000"/>
  </w:font>
  <w:font w:name="Segoe UI">
    <w:altName w:val="Noto Music"/>
    <w:panose1 w:val="020B0502040204020203"/>
    <w:charset w:val="00"/>
    <w:family w:val="swiss"/>
    <w:pitch w:val="default"/>
    <w:sig w:usb0="00000000" w:usb1="00000000"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749075"/>
      <w:docPartObj>
        <w:docPartGallery w:val="autotext"/>
      </w:docPartObj>
    </w:sdtPr>
    <w:sdtEndPr>
      <w:rPr>
        <w:color w:val="FFFFFF" w:themeColor="background1"/>
        <w14:textFill>
          <w14:solidFill>
            <w14:schemeClr w14:val="bg1"/>
          </w14:solidFill>
        </w14:textFill>
      </w:rPr>
    </w:sdtEndPr>
    <w:sdtContent>
      <w:p>
        <w:pPr>
          <w:pStyle w:val="8"/>
          <w:jc w:val="right"/>
          <w:rPr>
            <w:color w:val="FFFFFF" w:themeColor="background1"/>
            <w14:textFill>
              <w14:solidFill>
                <w14:schemeClr w14:val="bg1"/>
              </w14:solidFill>
            </w14:textFill>
          </w:rPr>
        </w:pP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PAGE   \* MERGEFORMAT</w:instrText>
        </w:r>
        <w:r>
          <w:rPr>
            <w:color w:val="FFFFFF" w:themeColor="background1"/>
            <w14:textFill>
              <w14:solidFill>
                <w14:schemeClr w14:val="bg1"/>
              </w14:solidFill>
            </w14:textFill>
          </w:rPr>
          <w:fldChar w:fldCharType="separate"/>
        </w:r>
        <w:r>
          <w:rPr>
            <w:color w:val="FFFFFF" w:themeColor="background1"/>
            <w:lang w:val="zh-CN"/>
            <w14:textFill>
              <w14:solidFill>
                <w14:schemeClr w14:val="bg1"/>
              </w14:solidFill>
            </w14:textFill>
          </w:rPr>
          <w:t>2</w:t>
        </w:r>
        <w:r>
          <w:rPr>
            <w:color w:val="FFFFFF" w:themeColor="background1"/>
            <w14:textFill>
              <w14:solidFill>
                <w14:schemeClr w14:val="bg1"/>
              </w14:solidFill>
            </w14:textFill>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i w:val="0"/>
        <w:iCs w:val="0"/>
      </w:rPr>
      <w:id w:val="-678728659"/>
      <w:docPartObj>
        <w:docPartGallery w:val="autotext"/>
      </w:docPartObj>
    </w:sdtPr>
    <w:sdtEndPr>
      <w:rPr>
        <w:rFonts w:ascii="Times New Roman" w:hAnsi="Times New Roman" w:cs="Times New Roman"/>
        <w:i/>
        <w:iCs/>
        <w:sz w:val="21"/>
        <w:szCs w:val="21"/>
        <w:lang w:val="zh-CN"/>
      </w:rPr>
    </w:sdtEndPr>
    <w:sdtContent>
      <w:p>
        <w:pPr>
          <w:pStyle w:val="8"/>
          <w:rPr>
            <w:rFonts w:ascii="Times New Roman" w:hAnsi="Times New Roman" w:cs="Times New Roman"/>
            <w:i/>
            <w:iCs/>
            <w:sz w:val="21"/>
            <w:szCs w:val="21"/>
            <w:lang w:val="zh-CN"/>
          </w:rPr>
        </w:pPr>
        <w:r>
          <w:rPr>
            <w:rFonts w:ascii="Times New Roman" w:hAnsi="Times New Roman" w:cs="Times New Roman"/>
            <w:i w:val="0"/>
            <w:iCs w:val="0"/>
            <w:sz w:val="21"/>
            <w:szCs w:val="21"/>
            <w:lang w:val="zh-CN"/>
          </w:rPr>
          <w:fldChar w:fldCharType="begin"/>
        </w:r>
        <w:r>
          <w:rPr>
            <w:rFonts w:ascii="Times New Roman" w:hAnsi="Times New Roman" w:cs="Times New Roman"/>
            <w:i w:val="0"/>
            <w:iCs w:val="0"/>
            <w:sz w:val="21"/>
            <w:szCs w:val="21"/>
            <w:lang w:val="zh-CN"/>
          </w:rPr>
          <w:instrText xml:space="preserve">PAGE   \* MERGEFORMAT</w:instrText>
        </w:r>
        <w:r>
          <w:rPr>
            <w:rFonts w:ascii="Times New Roman" w:hAnsi="Times New Roman" w:cs="Times New Roman"/>
            <w:i w:val="0"/>
            <w:iCs w:val="0"/>
            <w:sz w:val="21"/>
            <w:szCs w:val="21"/>
            <w:lang w:val="zh-CN"/>
          </w:rPr>
          <w:fldChar w:fldCharType="separate"/>
        </w:r>
        <w:r>
          <w:rPr>
            <w:rFonts w:ascii="Times New Roman" w:hAnsi="Times New Roman" w:cs="Times New Roman"/>
            <w:i w:val="0"/>
            <w:iCs w:val="0"/>
            <w:sz w:val="21"/>
            <w:szCs w:val="21"/>
            <w:lang w:val="zh-CN"/>
          </w:rPr>
          <w:t>2</w:t>
        </w:r>
        <w:r>
          <w:rPr>
            <w:rFonts w:ascii="Times New Roman" w:hAnsi="Times New Roman" w:cs="Times New Roman"/>
            <w:i w:val="0"/>
            <w:iCs w:val="0"/>
            <w:sz w:val="21"/>
            <w:szCs w:val="21"/>
            <w:lang w:val="zh-CN"/>
          </w:rPr>
          <w:fldChar w:fldCharType="end"/>
        </w:r>
      </w:p>
    </w:sdtContent>
  </w:sdt>
  <w:p>
    <w:pPr>
      <w:pStyle w:val="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1231841623"/>
      <w:docPartObj>
        <w:docPartGallery w:val="autotext"/>
      </w:docPartObj>
    </w:sdtPr>
    <w:sdtEndPr>
      <w:rPr>
        <w:rFonts w:hint="default" w:ascii="Times New Roman" w:hAnsi="Times New Roman" w:cs="Times New Roman"/>
        <w:i w:val="0"/>
        <w:iCs w:val="0"/>
        <w:sz w:val="21"/>
        <w:szCs w:val="21"/>
      </w:rPr>
    </w:sdtEndPr>
    <w:sdtContent>
      <w:p>
        <w:pPr>
          <w:pStyle w:val="8"/>
          <w:jc w:val="right"/>
          <w:rPr>
            <w:rFonts w:ascii="Times New Roman" w:hAnsi="Times New Roman" w:cs="Times New Roman"/>
            <w:i/>
            <w:iCs/>
            <w:sz w:val="21"/>
            <w:szCs w:val="21"/>
          </w:rPr>
        </w:pPr>
        <w:r>
          <w:rPr>
            <w:rFonts w:hint="default" w:ascii="Times New Roman" w:hAnsi="Times New Roman" w:cs="Times New Roman"/>
            <w:i w:val="0"/>
            <w:iCs w:val="0"/>
            <w:sz w:val="21"/>
            <w:szCs w:val="21"/>
          </w:rPr>
          <w:fldChar w:fldCharType="begin"/>
        </w:r>
        <w:r>
          <w:rPr>
            <w:rFonts w:hint="default" w:ascii="Times New Roman" w:hAnsi="Times New Roman" w:cs="Times New Roman"/>
            <w:i w:val="0"/>
            <w:iCs w:val="0"/>
            <w:sz w:val="21"/>
            <w:szCs w:val="21"/>
          </w:rPr>
          <w:instrText xml:space="preserve">PAGE   \* MERGEFORMAT</w:instrText>
        </w:r>
        <w:r>
          <w:rPr>
            <w:rFonts w:hint="default" w:ascii="Times New Roman" w:hAnsi="Times New Roman" w:cs="Times New Roman"/>
            <w:i w:val="0"/>
            <w:iCs w:val="0"/>
            <w:sz w:val="21"/>
            <w:szCs w:val="21"/>
          </w:rPr>
          <w:fldChar w:fldCharType="separate"/>
        </w:r>
        <w:r>
          <w:rPr>
            <w:rFonts w:hint="default" w:ascii="Times New Roman" w:hAnsi="Times New Roman" w:cs="Times New Roman"/>
            <w:i w:val="0"/>
            <w:iCs w:val="0"/>
            <w:sz w:val="21"/>
            <w:szCs w:val="21"/>
            <w:lang w:val="zh-CN"/>
          </w:rPr>
          <w:t>2</w:t>
        </w:r>
        <w:r>
          <w:rPr>
            <w:rFonts w:hint="default" w:ascii="Times New Roman" w:hAnsi="Times New Roman" w:cs="Times New Roman"/>
            <w:i w:val="0"/>
            <w:iCs w:val="0"/>
            <w:sz w:val="21"/>
            <w:szCs w:val="21"/>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evenAndOddHeaders w:val="true"/>
  <w:drawingGridHorizontalSpacing w:val="221"/>
  <w:drawingGridVerticalSpacing w:val="333"/>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yNze1MDMwNrEwMzRR0lEKTi0uzszPAykwrAUAuJHaTiwAAAA="/>
    <w:docVar w:name="commondata" w:val="eyJoZGlkIjoiNmY2ZTJhMjU2Y2JkMzliNDMyNzcwMmQwMjY1MzU1YjcifQ=="/>
  </w:docVars>
  <w:rsids>
    <w:rsidRoot w:val="0028249B"/>
    <w:rsid w:val="00001C98"/>
    <w:rsid w:val="000132C3"/>
    <w:rsid w:val="00023DCA"/>
    <w:rsid w:val="00044AEA"/>
    <w:rsid w:val="00046FEF"/>
    <w:rsid w:val="0006425A"/>
    <w:rsid w:val="0007229E"/>
    <w:rsid w:val="000833EE"/>
    <w:rsid w:val="000A582D"/>
    <w:rsid w:val="000A712E"/>
    <w:rsid w:val="000B6CA6"/>
    <w:rsid w:val="000C19E3"/>
    <w:rsid w:val="000C1A3D"/>
    <w:rsid w:val="000C4323"/>
    <w:rsid w:val="000D2DDC"/>
    <w:rsid w:val="000F0FE5"/>
    <w:rsid w:val="000F15FB"/>
    <w:rsid w:val="00105479"/>
    <w:rsid w:val="00110C5F"/>
    <w:rsid w:val="00126AAD"/>
    <w:rsid w:val="00127A2D"/>
    <w:rsid w:val="00141E96"/>
    <w:rsid w:val="00143BEE"/>
    <w:rsid w:val="00145D0C"/>
    <w:rsid w:val="0015077D"/>
    <w:rsid w:val="00151CB4"/>
    <w:rsid w:val="00155351"/>
    <w:rsid w:val="00163174"/>
    <w:rsid w:val="001659D6"/>
    <w:rsid w:val="00174ACF"/>
    <w:rsid w:val="00185C34"/>
    <w:rsid w:val="001D7814"/>
    <w:rsid w:val="001E2E1C"/>
    <w:rsid w:val="001E33B2"/>
    <w:rsid w:val="001F281C"/>
    <w:rsid w:val="002111DC"/>
    <w:rsid w:val="00215040"/>
    <w:rsid w:val="00232E5C"/>
    <w:rsid w:val="0025083D"/>
    <w:rsid w:val="00277D43"/>
    <w:rsid w:val="0028249B"/>
    <w:rsid w:val="002879E7"/>
    <w:rsid w:val="0029524C"/>
    <w:rsid w:val="002B1AA6"/>
    <w:rsid w:val="002B45C7"/>
    <w:rsid w:val="002B5638"/>
    <w:rsid w:val="002B649A"/>
    <w:rsid w:val="002C7699"/>
    <w:rsid w:val="002D4419"/>
    <w:rsid w:val="002D6C74"/>
    <w:rsid w:val="002D6DD5"/>
    <w:rsid w:val="002E3ADB"/>
    <w:rsid w:val="002E74B2"/>
    <w:rsid w:val="002F14F1"/>
    <w:rsid w:val="002F5A98"/>
    <w:rsid w:val="002F6702"/>
    <w:rsid w:val="00303582"/>
    <w:rsid w:val="00311D71"/>
    <w:rsid w:val="00321D32"/>
    <w:rsid w:val="00341620"/>
    <w:rsid w:val="0035781E"/>
    <w:rsid w:val="00375FB0"/>
    <w:rsid w:val="00382EBC"/>
    <w:rsid w:val="00384E67"/>
    <w:rsid w:val="003A4FC3"/>
    <w:rsid w:val="003A6559"/>
    <w:rsid w:val="003B5032"/>
    <w:rsid w:val="003B792C"/>
    <w:rsid w:val="003C00B2"/>
    <w:rsid w:val="003E1EF1"/>
    <w:rsid w:val="003F536D"/>
    <w:rsid w:val="0040478D"/>
    <w:rsid w:val="0041446F"/>
    <w:rsid w:val="00417831"/>
    <w:rsid w:val="00422F4A"/>
    <w:rsid w:val="004447E1"/>
    <w:rsid w:val="00446FFF"/>
    <w:rsid w:val="00450073"/>
    <w:rsid w:val="0047443A"/>
    <w:rsid w:val="00474499"/>
    <w:rsid w:val="00482A46"/>
    <w:rsid w:val="004837BD"/>
    <w:rsid w:val="0049319F"/>
    <w:rsid w:val="00496E60"/>
    <w:rsid w:val="0049781C"/>
    <w:rsid w:val="004A0DA4"/>
    <w:rsid w:val="004C0DC5"/>
    <w:rsid w:val="004D02BF"/>
    <w:rsid w:val="004E3967"/>
    <w:rsid w:val="004E7DBC"/>
    <w:rsid w:val="004F0495"/>
    <w:rsid w:val="004F13D8"/>
    <w:rsid w:val="0050250F"/>
    <w:rsid w:val="005210CF"/>
    <w:rsid w:val="00524C17"/>
    <w:rsid w:val="00526B44"/>
    <w:rsid w:val="005313AC"/>
    <w:rsid w:val="00542FAD"/>
    <w:rsid w:val="00553403"/>
    <w:rsid w:val="0056048C"/>
    <w:rsid w:val="005650AF"/>
    <w:rsid w:val="00571CCD"/>
    <w:rsid w:val="00575939"/>
    <w:rsid w:val="005774AE"/>
    <w:rsid w:val="00577C2B"/>
    <w:rsid w:val="00583D85"/>
    <w:rsid w:val="00592C0A"/>
    <w:rsid w:val="005A34A1"/>
    <w:rsid w:val="005A4033"/>
    <w:rsid w:val="005C46E5"/>
    <w:rsid w:val="005E1F00"/>
    <w:rsid w:val="00600C14"/>
    <w:rsid w:val="006013C3"/>
    <w:rsid w:val="00601B4A"/>
    <w:rsid w:val="00635E0E"/>
    <w:rsid w:val="00637CCB"/>
    <w:rsid w:val="00640F35"/>
    <w:rsid w:val="00641E60"/>
    <w:rsid w:val="00656C7B"/>
    <w:rsid w:val="00675C39"/>
    <w:rsid w:val="00677458"/>
    <w:rsid w:val="0069272F"/>
    <w:rsid w:val="0069651E"/>
    <w:rsid w:val="006A2796"/>
    <w:rsid w:val="006C024A"/>
    <w:rsid w:val="006E30DB"/>
    <w:rsid w:val="006E6810"/>
    <w:rsid w:val="00717B77"/>
    <w:rsid w:val="00722128"/>
    <w:rsid w:val="007253A6"/>
    <w:rsid w:val="007272D1"/>
    <w:rsid w:val="00740B71"/>
    <w:rsid w:val="00747637"/>
    <w:rsid w:val="00763072"/>
    <w:rsid w:val="00777855"/>
    <w:rsid w:val="007E2955"/>
    <w:rsid w:val="00800F0F"/>
    <w:rsid w:val="00814746"/>
    <w:rsid w:val="0081645D"/>
    <w:rsid w:val="00827BD7"/>
    <w:rsid w:val="008318F8"/>
    <w:rsid w:val="00840811"/>
    <w:rsid w:val="00841D1A"/>
    <w:rsid w:val="00861316"/>
    <w:rsid w:val="00863623"/>
    <w:rsid w:val="008719B7"/>
    <w:rsid w:val="00871CF6"/>
    <w:rsid w:val="00897DC5"/>
    <w:rsid w:val="008A0E86"/>
    <w:rsid w:val="008A4084"/>
    <w:rsid w:val="008B141C"/>
    <w:rsid w:val="008C5D29"/>
    <w:rsid w:val="008C7CE3"/>
    <w:rsid w:val="008E1EB7"/>
    <w:rsid w:val="008E3BAD"/>
    <w:rsid w:val="008E43C5"/>
    <w:rsid w:val="008F4062"/>
    <w:rsid w:val="008F49A7"/>
    <w:rsid w:val="009037E2"/>
    <w:rsid w:val="00904B57"/>
    <w:rsid w:val="00910D2F"/>
    <w:rsid w:val="00940BF9"/>
    <w:rsid w:val="00940E8D"/>
    <w:rsid w:val="009503DD"/>
    <w:rsid w:val="00963A2F"/>
    <w:rsid w:val="009933B1"/>
    <w:rsid w:val="00994609"/>
    <w:rsid w:val="009A31A1"/>
    <w:rsid w:val="009A4C3F"/>
    <w:rsid w:val="009B0660"/>
    <w:rsid w:val="009B181C"/>
    <w:rsid w:val="009B2B66"/>
    <w:rsid w:val="009C5629"/>
    <w:rsid w:val="009C6229"/>
    <w:rsid w:val="009C6482"/>
    <w:rsid w:val="009D1B09"/>
    <w:rsid w:val="009E6B93"/>
    <w:rsid w:val="009F0215"/>
    <w:rsid w:val="00A00D9F"/>
    <w:rsid w:val="00A015AD"/>
    <w:rsid w:val="00A01E1A"/>
    <w:rsid w:val="00A07ADB"/>
    <w:rsid w:val="00A108DD"/>
    <w:rsid w:val="00A12931"/>
    <w:rsid w:val="00A17ACC"/>
    <w:rsid w:val="00A339BA"/>
    <w:rsid w:val="00A3457A"/>
    <w:rsid w:val="00A631DA"/>
    <w:rsid w:val="00A72708"/>
    <w:rsid w:val="00A7512B"/>
    <w:rsid w:val="00A843AB"/>
    <w:rsid w:val="00AA1597"/>
    <w:rsid w:val="00AA3BC7"/>
    <w:rsid w:val="00AA6261"/>
    <w:rsid w:val="00AA6EBD"/>
    <w:rsid w:val="00AC17A2"/>
    <w:rsid w:val="00AC4CD2"/>
    <w:rsid w:val="00AD4515"/>
    <w:rsid w:val="00AE3D4C"/>
    <w:rsid w:val="00AF3696"/>
    <w:rsid w:val="00AF5693"/>
    <w:rsid w:val="00B03788"/>
    <w:rsid w:val="00B059CD"/>
    <w:rsid w:val="00B129D7"/>
    <w:rsid w:val="00B15479"/>
    <w:rsid w:val="00B245CC"/>
    <w:rsid w:val="00B25998"/>
    <w:rsid w:val="00B41A33"/>
    <w:rsid w:val="00B44D6C"/>
    <w:rsid w:val="00B5417D"/>
    <w:rsid w:val="00B61856"/>
    <w:rsid w:val="00B84B98"/>
    <w:rsid w:val="00B92400"/>
    <w:rsid w:val="00BA13BC"/>
    <w:rsid w:val="00BA48CC"/>
    <w:rsid w:val="00BC6071"/>
    <w:rsid w:val="00BD1DE9"/>
    <w:rsid w:val="00BD1F73"/>
    <w:rsid w:val="00C049BF"/>
    <w:rsid w:val="00C1148B"/>
    <w:rsid w:val="00C14295"/>
    <w:rsid w:val="00C17CCA"/>
    <w:rsid w:val="00C245BB"/>
    <w:rsid w:val="00C251E8"/>
    <w:rsid w:val="00C31D1E"/>
    <w:rsid w:val="00C43CC9"/>
    <w:rsid w:val="00C504D7"/>
    <w:rsid w:val="00C568C8"/>
    <w:rsid w:val="00C80D68"/>
    <w:rsid w:val="00C86663"/>
    <w:rsid w:val="00C92618"/>
    <w:rsid w:val="00C92DF9"/>
    <w:rsid w:val="00CA7EC1"/>
    <w:rsid w:val="00CB3D90"/>
    <w:rsid w:val="00CD5158"/>
    <w:rsid w:val="00CD5AFC"/>
    <w:rsid w:val="00CE39FE"/>
    <w:rsid w:val="00CF00C7"/>
    <w:rsid w:val="00CF422D"/>
    <w:rsid w:val="00CF45E7"/>
    <w:rsid w:val="00D017CC"/>
    <w:rsid w:val="00D0248A"/>
    <w:rsid w:val="00D03016"/>
    <w:rsid w:val="00D101D6"/>
    <w:rsid w:val="00D14F18"/>
    <w:rsid w:val="00D33C0E"/>
    <w:rsid w:val="00D411CF"/>
    <w:rsid w:val="00D42846"/>
    <w:rsid w:val="00D45490"/>
    <w:rsid w:val="00D7380A"/>
    <w:rsid w:val="00D75095"/>
    <w:rsid w:val="00D922F9"/>
    <w:rsid w:val="00DB2C75"/>
    <w:rsid w:val="00DB57EF"/>
    <w:rsid w:val="00DC22C6"/>
    <w:rsid w:val="00DC6833"/>
    <w:rsid w:val="00DC6B56"/>
    <w:rsid w:val="00DD3F84"/>
    <w:rsid w:val="00E00836"/>
    <w:rsid w:val="00E04588"/>
    <w:rsid w:val="00E06E3C"/>
    <w:rsid w:val="00E0770D"/>
    <w:rsid w:val="00E108D0"/>
    <w:rsid w:val="00E372D7"/>
    <w:rsid w:val="00E37F36"/>
    <w:rsid w:val="00E466FF"/>
    <w:rsid w:val="00E5164D"/>
    <w:rsid w:val="00E53574"/>
    <w:rsid w:val="00E56AA4"/>
    <w:rsid w:val="00E614F5"/>
    <w:rsid w:val="00E726F8"/>
    <w:rsid w:val="00E74DE7"/>
    <w:rsid w:val="00E76536"/>
    <w:rsid w:val="00E8331C"/>
    <w:rsid w:val="00E94E33"/>
    <w:rsid w:val="00E96D41"/>
    <w:rsid w:val="00ED1DCF"/>
    <w:rsid w:val="00ED24A1"/>
    <w:rsid w:val="00ED2CA6"/>
    <w:rsid w:val="00ED6819"/>
    <w:rsid w:val="00EE2D50"/>
    <w:rsid w:val="00EE57DA"/>
    <w:rsid w:val="00EF2A1B"/>
    <w:rsid w:val="00F04462"/>
    <w:rsid w:val="00F13614"/>
    <w:rsid w:val="00F2034E"/>
    <w:rsid w:val="00F22980"/>
    <w:rsid w:val="00F3603B"/>
    <w:rsid w:val="00F409DA"/>
    <w:rsid w:val="00FA0291"/>
    <w:rsid w:val="00FA314A"/>
    <w:rsid w:val="00FB32C6"/>
    <w:rsid w:val="00FB5DC2"/>
    <w:rsid w:val="00FB62F5"/>
    <w:rsid w:val="00FC34BB"/>
    <w:rsid w:val="00FE4FD5"/>
    <w:rsid w:val="00FF011F"/>
    <w:rsid w:val="01177A27"/>
    <w:rsid w:val="01205D5C"/>
    <w:rsid w:val="013558BC"/>
    <w:rsid w:val="01486FAE"/>
    <w:rsid w:val="015D1E2B"/>
    <w:rsid w:val="017F555F"/>
    <w:rsid w:val="01B87F15"/>
    <w:rsid w:val="01D71988"/>
    <w:rsid w:val="01FB51D5"/>
    <w:rsid w:val="021E3140"/>
    <w:rsid w:val="026954E1"/>
    <w:rsid w:val="028075F6"/>
    <w:rsid w:val="02BD661E"/>
    <w:rsid w:val="033A0998"/>
    <w:rsid w:val="033F6241"/>
    <w:rsid w:val="035F1D98"/>
    <w:rsid w:val="03622455"/>
    <w:rsid w:val="036B7036"/>
    <w:rsid w:val="036E2742"/>
    <w:rsid w:val="039E57AB"/>
    <w:rsid w:val="03A72764"/>
    <w:rsid w:val="040F5AE1"/>
    <w:rsid w:val="042F2D37"/>
    <w:rsid w:val="045533CC"/>
    <w:rsid w:val="046D0CF4"/>
    <w:rsid w:val="04BA64C7"/>
    <w:rsid w:val="04CB4348"/>
    <w:rsid w:val="056C55A2"/>
    <w:rsid w:val="056D52E8"/>
    <w:rsid w:val="05B63349"/>
    <w:rsid w:val="06127533"/>
    <w:rsid w:val="063C5F64"/>
    <w:rsid w:val="0645076B"/>
    <w:rsid w:val="067A4CAB"/>
    <w:rsid w:val="06A648B0"/>
    <w:rsid w:val="06CC6FF0"/>
    <w:rsid w:val="072145DC"/>
    <w:rsid w:val="07353C84"/>
    <w:rsid w:val="073737F4"/>
    <w:rsid w:val="077C1723"/>
    <w:rsid w:val="07854D3E"/>
    <w:rsid w:val="07D258D6"/>
    <w:rsid w:val="07DA3804"/>
    <w:rsid w:val="08354C14"/>
    <w:rsid w:val="085E7258"/>
    <w:rsid w:val="089F7EAE"/>
    <w:rsid w:val="08A06E25"/>
    <w:rsid w:val="08BE0EF5"/>
    <w:rsid w:val="09104908"/>
    <w:rsid w:val="09153CCC"/>
    <w:rsid w:val="09353D5E"/>
    <w:rsid w:val="096E162E"/>
    <w:rsid w:val="09ED3E93"/>
    <w:rsid w:val="0A252205"/>
    <w:rsid w:val="0A2F0DBE"/>
    <w:rsid w:val="0A4D56E8"/>
    <w:rsid w:val="0A6F565E"/>
    <w:rsid w:val="0AA8381A"/>
    <w:rsid w:val="0AFC15E8"/>
    <w:rsid w:val="0B0C10FF"/>
    <w:rsid w:val="0BAB0918"/>
    <w:rsid w:val="0BAF62FB"/>
    <w:rsid w:val="0C4A0504"/>
    <w:rsid w:val="0C654F6B"/>
    <w:rsid w:val="0C7F6895"/>
    <w:rsid w:val="0CDA7949"/>
    <w:rsid w:val="0CE95932"/>
    <w:rsid w:val="0CF32576"/>
    <w:rsid w:val="0CF92BF4"/>
    <w:rsid w:val="0D0B5B12"/>
    <w:rsid w:val="0D2F5B49"/>
    <w:rsid w:val="0DAD4E1B"/>
    <w:rsid w:val="0DBD4932"/>
    <w:rsid w:val="0E2803AA"/>
    <w:rsid w:val="0E4067C6"/>
    <w:rsid w:val="0E927B6D"/>
    <w:rsid w:val="0EA21BDD"/>
    <w:rsid w:val="0EA57F58"/>
    <w:rsid w:val="0EA93835"/>
    <w:rsid w:val="0F205179"/>
    <w:rsid w:val="0F2A5FF8"/>
    <w:rsid w:val="0F3A509D"/>
    <w:rsid w:val="0F577B28"/>
    <w:rsid w:val="0F585066"/>
    <w:rsid w:val="0F7774F4"/>
    <w:rsid w:val="0FEC4D4F"/>
    <w:rsid w:val="100F3A57"/>
    <w:rsid w:val="101C0D50"/>
    <w:rsid w:val="103108BE"/>
    <w:rsid w:val="10416F1F"/>
    <w:rsid w:val="104233D7"/>
    <w:rsid w:val="10543AE2"/>
    <w:rsid w:val="106E0822"/>
    <w:rsid w:val="10D67F9C"/>
    <w:rsid w:val="10E072B6"/>
    <w:rsid w:val="10E8616A"/>
    <w:rsid w:val="10EF574B"/>
    <w:rsid w:val="110C6291"/>
    <w:rsid w:val="111110FD"/>
    <w:rsid w:val="114E2471"/>
    <w:rsid w:val="116B3023"/>
    <w:rsid w:val="11AE4CBE"/>
    <w:rsid w:val="11B362A4"/>
    <w:rsid w:val="11C90F52"/>
    <w:rsid w:val="11D30BC8"/>
    <w:rsid w:val="120676BE"/>
    <w:rsid w:val="120A0A9D"/>
    <w:rsid w:val="120E595B"/>
    <w:rsid w:val="121609A6"/>
    <w:rsid w:val="12594CE6"/>
    <w:rsid w:val="12906B8C"/>
    <w:rsid w:val="12ED5CBA"/>
    <w:rsid w:val="12F62DC8"/>
    <w:rsid w:val="132C6A5A"/>
    <w:rsid w:val="13580BCE"/>
    <w:rsid w:val="1361677C"/>
    <w:rsid w:val="13850AAE"/>
    <w:rsid w:val="13F82B68"/>
    <w:rsid w:val="14026F7B"/>
    <w:rsid w:val="14215943"/>
    <w:rsid w:val="142C50A8"/>
    <w:rsid w:val="143F2CAE"/>
    <w:rsid w:val="14493277"/>
    <w:rsid w:val="144D7891"/>
    <w:rsid w:val="147B4541"/>
    <w:rsid w:val="14A34FB4"/>
    <w:rsid w:val="14CA2821"/>
    <w:rsid w:val="15437E13"/>
    <w:rsid w:val="15545B7C"/>
    <w:rsid w:val="15916DD0"/>
    <w:rsid w:val="15B30AF5"/>
    <w:rsid w:val="15DA7458"/>
    <w:rsid w:val="160D2E3F"/>
    <w:rsid w:val="16191E61"/>
    <w:rsid w:val="165733FA"/>
    <w:rsid w:val="166444E5"/>
    <w:rsid w:val="16677B31"/>
    <w:rsid w:val="169F376F"/>
    <w:rsid w:val="16D762C1"/>
    <w:rsid w:val="16DA6C95"/>
    <w:rsid w:val="16DD481F"/>
    <w:rsid w:val="17005FBC"/>
    <w:rsid w:val="173A5433"/>
    <w:rsid w:val="17507D39"/>
    <w:rsid w:val="17527320"/>
    <w:rsid w:val="179C2793"/>
    <w:rsid w:val="183121A5"/>
    <w:rsid w:val="185C36C6"/>
    <w:rsid w:val="18786643"/>
    <w:rsid w:val="18EC3846"/>
    <w:rsid w:val="19020A55"/>
    <w:rsid w:val="194303E2"/>
    <w:rsid w:val="19AB4D2F"/>
    <w:rsid w:val="19DB4ABE"/>
    <w:rsid w:val="1A037BA3"/>
    <w:rsid w:val="1A09641C"/>
    <w:rsid w:val="1A3437A2"/>
    <w:rsid w:val="1A403465"/>
    <w:rsid w:val="1A6A51B6"/>
    <w:rsid w:val="1A6E7911"/>
    <w:rsid w:val="1A727E2E"/>
    <w:rsid w:val="1A7F7E63"/>
    <w:rsid w:val="1A8D47CC"/>
    <w:rsid w:val="1AA24621"/>
    <w:rsid w:val="1AD37563"/>
    <w:rsid w:val="1B1B527C"/>
    <w:rsid w:val="1B1E2FBC"/>
    <w:rsid w:val="1B7533B8"/>
    <w:rsid w:val="1B923756"/>
    <w:rsid w:val="1B9D339A"/>
    <w:rsid w:val="1BB23B3A"/>
    <w:rsid w:val="1BF522B5"/>
    <w:rsid w:val="1C4F3BD1"/>
    <w:rsid w:val="1C5945D2"/>
    <w:rsid w:val="1C623275"/>
    <w:rsid w:val="1C6E39C8"/>
    <w:rsid w:val="1C752C38"/>
    <w:rsid w:val="1C76287C"/>
    <w:rsid w:val="1C973D0E"/>
    <w:rsid w:val="1CBD26CA"/>
    <w:rsid w:val="1CC0167C"/>
    <w:rsid w:val="1CE41EDC"/>
    <w:rsid w:val="1CF10D25"/>
    <w:rsid w:val="1CF67761"/>
    <w:rsid w:val="1CF73A2E"/>
    <w:rsid w:val="1D38516E"/>
    <w:rsid w:val="1D62418B"/>
    <w:rsid w:val="1D745CED"/>
    <w:rsid w:val="1D8075EC"/>
    <w:rsid w:val="1D9E25B4"/>
    <w:rsid w:val="1DDB508D"/>
    <w:rsid w:val="1E1E4F79"/>
    <w:rsid w:val="1E4D7403"/>
    <w:rsid w:val="1E5B61CE"/>
    <w:rsid w:val="1E5E46DB"/>
    <w:rsid w:val="1E6C2189"/>
    <w:rsid w:val="1E6F3A27"/>
    <w:rsid w:val="1EE2660B"/>
    <w:rsid w:val="1F0047C6"/>
    <w:rsid w:val="1F132CE2"/>
    <w:rsid w:val="1F9E6349"/>
    <w:rsid w:val="1FA3607E"/>
    <w:rsid w:val="1FB361D8"/>
    <w:rsid w:val="201F3A55"/>
    <w:rsid w:val="203C24B4"/>
    <w:rsid w:val="205C2081"/>
    <w:rsid w:val="208C361B"/>
    <w:rsid w:val="20B66BBF"/>
    <w:rsid w:val="210D092D"/>
    <w:rsid w:val="2110329F"/>
    <w:rsid w:val="2135573C"/>
    <w:rsid w:val="213D7E0C"/>
    <w:rsid w:val="21434A6B"/>
    <w:rsid w:val="21554BCB"/>
    <w:rsid w:val="2182475D"/>
    <w:rsid w:val="21B225A8"/>
    <w:rsid w:val="21C46094"/>
    <w:rsid w:val="21CC7139"/>
    <w:rsid w:val="21DE01B0"/>
    <w:rsid w:val="21F514CA"/>
    <w:rsid w:val="22041550"/>
    <w:rsid w:val="220B3A67"/>
    <w:rsid w:val="220B7F0B"/>
    <w:rsid w:val="222D7E81"/>
    <w:rsid w:val="22341C6F"/>
    <w:rsid w:val="224338C6"/>
    <w:rsid w:val="226E466D"/>
    <w:rsid w:val="22A62938"/>
    <w:rsid w:val="22C51B93"/>
    <w:rsid w:val="230072DC"/>
    <w:rsid w:val="23863CED"/>
    <w:rsid w:val="23A23380"/>
    <w:rsid w:val="241E5CD3"/>
    <w:rsid w:val="2426102C"/>
    <w:rsid w:val="243C084F"/>
    <w:rsid w:val="245A2A83"/>
    <w:rsid w:val="246102B6"/>
    <w:rsid w:val="246F0802"/>
    <w:rsid w:val="24A71ED4"/>
    <w:rsid w:val="24A87C93"/>
    <w:rsid w:val="24BB5C18"/>
    <w:rsid w:val="24E76A0D"/>
    <w:rsid w:val="25007ACF"/>
    <w:rsid w:val="251A293E"/>
    <w:rsid w:val="25203CCD"/>
    <w:rsid w:val="252F1208"/>
    <w:rsid w:val="253C34BC"/>
    <w:rsid w:val="25523DE2"/>
    <w:rsid w:val="258332B5"/>
    <w:rsid w:val="25ED0B88"/>
    <w:rsid w:val="261631EE"/>
    <w:rsid w:val="2647000D"/>
    <w:rsid w:val="264E120C"/>
    <w:rsid w:val="2690305F"/>
    <w:rsid w:val="26DC3C24"/>
    <w:rsid w:val="26F82E1C"/>
    <w:rsid w:val="27042D58"/>
    <w:rsid w:val="274243CE"/>
    <w:rsid w:val="27611754"/>
    <w:rsid w:val="278A57F5"/>
    <w:rsid w:val="27B82857"/>
    <w:rsid w:val="27BA6658"/>
    <w:rsid w:val="27C70CC8"/>
    <w:rsid w:val="27C941A8"/>
    <w:rsid w:val="2804422C"/>
    <w:rsid w:val="282D0BDB"/>
    <w:rsid w:val="28447ADD"/>
    <w:rsid w:val="284B3BC6"/>
    <w:rsid w:val="28533431"/>
    <w:rsid w:val="28730390"/>
    <w:rsid w:val="28862099"/>
    <w:rsid w:val="28AB1AFF"/>
    <w:rsid w:val="29422464"/>
    <w:rsid w:val="294B5EC5"/>
    <w:rsid w:val="297939AC"/>
    <w:rsid w:val="29946A38"/>
    <w:rsid w:val="29EA3E3E"/>
    <w:rsid w:val="29FB2613"/>
    <w:rsid w:val="29FB51B7"/>
    <w:rsid w:val="2A0B3BBA"/>
    <w:rsid w:val="2A1438E0"/>
    <w:rsid w:val="2A63608A"/>
    <w:rsid w:val="2AA212CF"/>
    <w:rsid w:val="2AB54EB7"/>
    <w:rsid w:val="2ADE4A63"/>
    <w:rsid w:val="2B084FE7"/>
    <w:rsid w:val="2B2A4C1F"/>
    <w:rsid w:val="2B2D02F9"/>
    <w:rsid w:val="2B2E4B4E"/>
    <w:rsid w:val="2B8B2CE8"/>
    <w:rsid w:val="2B8B4993"/>
    <w:rsid w:val="2BD36FA1"/>
    <w:rsid w:val="2C0734F1"/>
    <w:rsid w:val="2C170AD9"/>
    <w:rsid w:val="2C241F6B"/>
    <w:rsid w:val="2C2C3026"/>
    <w:rsid w:val="2C534414"/>
    <w:rsid w:val="2C5C383D"/>
    <w:rsid w:val="2C6421B7"/>
    <w:rsid w:val="2C817A09"/>
    <w:rsid w:val="2C892158"/>
    <w:rsid w:val="2CA41D7B"/>
    <w:rsid w:val="2CB01DDA"/>
    <w:rsid w:val="2CC55886"/>
    <w:rsid w:val="2CD4232F"/>
    <w:rsid w:val="2D187B56"/>
    <w:rsid w:val="2D2227DD"/>
    <w:rsid w:val="2D8939DB"/>
    <w:rsid w:val="2DD53498"/>
    <w:rsid w:val="2DEC2943"/>
    <w:rsid w:val="2DFA155F"/>
    <w:rsid w:val="2E1819E5"/>
    <w:rsid w:val="2E3A195C"/>
    <w:rsid w:val="2E3D58F0"/>
    <w:rsid w:val="2E526F9E"/>
    <w:rsid w:val="2E740FF1"/>
    <w:rsid w:val="2E945A58"/>
    <w:rsid w:val="2EB43CEA"/>
    <w:rsid w:val="2EEE5640"/>
    <w:rsid w:val="2EF5036D"/>
    <w:rsid w:val="2F1C27FD"/>
    <w:rsid w:val="2F2E6FE6"/>
    <w:rsid w:val="2F331CC9"/>
    <w:rsid w:val="2F455109"/>
    <w:rsid w:val="2F754C15"/>
    <w:rsid w:val="2F8337D6"/>
    <w:rsid w:val="2F96182A"/>
    <w:rsid w:val="2FBD51B7"/>
    <w:rsid w:val="2FE04785"/>
    <w:rsid w:val="301B1808"/>
    <w:rsid w:val="30404F85"/>
    <w:rsid w:val="30550BE7"/>
    <w:rsid w:val="307418D9"/>
    <w:rsid w:val="30817D16"/>
    <w:rsid w:val="30A6152A"/>
    <w:rsid w:val="30A811B7"/>
    <w:rsid w:val="30BE080C"/>
    <w:rsid w:val="30D75B88"/>
    <w:rsid w:val="30E36586"/>
    <w:rsid w:val="311741D6"/>
    <w:rsid w:val="314D409C"/>
    <w:rsid w:val="315419A0"/>
    <w:rsid w:val="316706A6"/>
    <w:rsid w:val="317E045D"/>
    <w:rsid w:val="31920534"/>
    <w:rsid w:val="31E057E4"/>
    <w:rsid w:val="31E42843"/>
    <w:rsid w:val="31ED64CA"/>
    <w:rsid w:val="31EF2884"/>
    <w:rsid w:val="324348E3"/>
    <w:rsid w:val="325A00D3"/>
    <w:rsid w:val="32757CBE"/>
    <w:rsid w:val="327B69E7"/>
    <w:rsid w:val="32EE540A"/>
    <w:rsid w:val="32FC18D5"/>
    <w:rsid w:val="337E13A0"/>
    <w:rsid w:val="33A45AC9"/>
    <w:rsid w:val="33E94441"/>
    <w:rsid w:val="3402309A"/>
    <w:rsid w:val="342272B0"/>
    <w:rsid w:val="34493E86"/>
    <w:rsid w:val="344A2B14"/>
    <w:rsid w:val="346143DB"/>
    <w:rsid w:val="347D07F4"/>
    <w:rsid w:val="348407DB"/>
    <w:rsid w:val="34A55F9D"/>
    <w:rsid w:val="34C5219B"/>
    <w:rsid w:val="34CD2BAF"/>
    <w:rsid w:val="34E25993"/>
    <w:rsid w:val="34E940DB"/>
    <w:rsid w:val="34F77B28"/>
    <w:rsid w:val="34F97E4B"/>
    <w:rsid w:val="353B7E87"/>
    <w:rsid w:val="35521C81"/>
    <w:rsid w:val="3589141A"/>
    <w:rsid w:val="35B9585C"/>
    <w:rsid w:val="3619454C"/>
    <w:rsid w:val="36341386"/>
    <w:rsid w:val="366E687E"/>
    <w:rsid w:val="366F6336"/>
    <w:rsid w:val="36C1747C"/>
    <w:rsid w:val="36D72EDD"/>
    <w:rsid w:val="36D82946"/>
    <w:rsid w:val="370419F2"/>
    <w:rsid w:val="37201212"/>
    <w:rsid w:val="373D426B"/>
    <w:rsid w:val="3759048B"/>
    <w:rsid w:val="378622FD"/>
    <w:rsid w:val="37B147FE"/>
    <w:rsid w:val="37D9742D"/>
    <w:rsid w:val="38022BDC"/>
    <w:rsid w:val="380B4369"/>
    <w:rsid w:val="385D7931"/>
    <w:rsid w:val="38C42E95"/>
    <w:rsid w:val="3914766B"/>
    <w:rsid w:val="39152B96"/>
    <w:rsid w:val="39211013"/>
    <w:rsid w:val="39253208"/>
    <w:rsid w:val="3946634B"/>
    <w:rsid w:val="395B3910"/>
    <w:rsid w:val="397C551E"/>
    <w:rsid w:val="397C7659"/>
    <w:rsid w:val="397E7D6B"/>
    <w:rsid w:val="398268AC"/>
    <w:rsid w:val="3A40207F"/>
    <w:rsid w:val="3A424D64"/>
    <w:rsid w:val="3A4875D7"/>
    <w:rsid w:val="3A5E69D2"/>
    <w:rsid w:val="3AD56CC2"/>
    <w:rsid w:val="3ADD023E"/>
    <w:rsid w:val="3ADE3FB6"/>
    <w:rsid w:val="3B0E10B0"/>
    <w:rsid w:val="3B392F9B"/>
    <w:rsid w:val="3B512DAC"/>
    <w:rsid w:val="3B697D2B"/>
    <w:rsid w:val="3BAC19BF"/>
    <w:rsid w:val="3BC46D08"/>
    <w:rsid w:val="3BF43905"/>
    <w:rsid w:val="3C167ABE"/>
    <w:rsid w:val="3C687931"/>
    <w:rsid w:val="3C8B2027"/>
    <w:rsid w:val="3C9A4F61"/>
    <w:rsid w:val="3CF11D7F"/>
    <w:rsid w:val="3D157F75"/>
    <w:rsid w:val="3D251A29"/>
    <w:rsid w:val="3D37175C"/>
    <w:rsid w:val="3D3B7F38"/>
    <w:rsid w:val="3D9809C9"/>
    <w:rsid w:val="3DE9328F"/>
    <w:rsid w:val="3DEA2B19"/>
    <w:rsid w:val="3E281846"/>
    <w:rsid w:val="3E6D1A7C"/>
    <w:rsid w:val="3E930D36"/>
    <w:rsid w:val="3EB26893"/>
    <w:rsid w:val="3EC77B54"/>
    <w:rsid w:val="3F070B7D"/>
    <w:rsid w:val="3F2266ED"/>
    <w:rsid w:val="3F285C7B"/>
    <w:rsid w:val="3F730AEC"/>
    <w:rsid w:val="3FA03BAA"/>
    <w:rsid w:val="3FB23F6B"/>
    <w:rsid w:val="3FBE157C"/>
    <w:rsid w:val="3FCD4EF1"/>
    <w:rsid w:val="3FE7484B"/>
    <w:rsid w:val="40472707"/>
    <w:rsid w:val="407940A2"/>
    <w:rsid w:val="408C0A89"/>
    <w:rsid w:val="409C29E0"/>
    <w:rsid w:val="40FE3C1C"/>
    <w:rsid w:val="41151DB4"/>
    <w:rsid w:val="41263FC1"/>
    <w:rsid w:val="41512EEC"/>
    <w:rsid w:val="41650407"/>
    <w:rsid w:val="418238EE"/>
    <w:rsid w:val="418F1B67"/>
    <w:rsid w:val="41E53E7C"/>
    <w:rsid w:val="41F61BE6"/>
    <w:rsid w:val="42056F8B"/>
    <w:rsid w:val="42386523"/>
    <w:rsid w:val="42505D8F"/>
    <w:rsid w:val="42802D8D"/>
    <w:rsid w:val="42AD023B"/>
    <w:rsid w:val="42C85330"/>
    <w:rsid w:val="42E96DC2"/>
    <w:rsid w:val="42F00D2B"/>
    <w:rsid w:val="4306692E"/>
    <w:rsid w:val="43321338"/>
    <w:rsid w:val="436456F5"/>
    <w:rsid w:val="437F3C65"/>
    <w:rsid w:val="43842705"/>
    <w:rsid w:val="438F40A0"/>
    <w:rsid w:val="43AC29B0"/>
    <w:rsid w:val="43B66365"/>
    <w:rsid w:val="43DC2DE0"/>
    <w:rsid w:val="440457EF"/>
    <w:rsid w:val="440C56F0"/>
    <w:rsid w:val="441E6911"/>
    <w:rsid w:val="44301C44"/>
    <w:rsid w:val="445C5F96"/>
    <w:rsid w:val="447A00BE"/>
    <w:rsid w:val="44932709"/>
    <w:rsid w:val="44AD1764"/>
    <w:rsid w:val="45012D7B"/>
    <w:rsid w:val="452F78E8"/>
    <w:rsid w:val="45344EFF"/>
    <w:rsid w:val="455D284D"/>
    <w:rsid w:val="45E878B3"/>
    <w:rsid w:val="46001285"/>
    <w:rsid w:val="46056014"/>
    <w:rsid w:val="462C02CC"/>
    <w:rsid w:val="46346AD8"/>
    <w:rsid w:val="46453B1C"/>
    <w:rsid w:val="466054DD"/>
    <w:rsid w:val="468C48C7"/>
    <w:rsid w:val="46B01136"/>
    <w:rsid w:val="46F72688"/>
    <w:rsid w:val="4736060E"/>
    <w:rsid w:val="473B1479"/>
    <w:rsid w:val="473B735A"/>
    <w:rsid w:val="47492C92"/>
    <w:rsid w:val="476615BC"/>
    <w:rsid w:val="47706464"/>
    <w:rsid w:val="47745A86"/>
    <w:rsid w:val="47B83827"/>
    <w:rsid w:val="47E349BA"/>
    <w:rsid w:val="47EC1AC1"/>
    <w:rsid w:val="482E4FB1"/>
    <w:rsid w:val="482F5E51"/>
    <w:rsid w:val="484511D1"/>
    <w:rsid w:val="486C5F17"/>
    <w:rsid w:val="48D52555"/>
    <w:rsid w:val="48D72771"/>
    <w:rsid w:val="490A3A59"/>
    <w:rsid w:val="493B6E92"/>
    <w:rsid w:val="49584F34"/>
    <w:rsid w:val="4966471F"/>
    <w:rsid w:val="49886629"/>
    <w:rsid w:val="49DE18DD"/>
    <w:rsid w:val="4A05260C"/>
    <w:rsid w:val="4A077ABF"/>
    <w:rsid w:val="4A0A0609"/>
    <w:rsid w:val="4A0C0FED"/>
    <w:rsid w:val="4A2F40FA"/>
    <w:rsid w:val="4A4A2ACF"/>
    <w:rsid w:val="4AB26569"/>
    <w:rsid w:val="4ACD182F"/>
    <w:rsid w:val="4ACE067F"/>
    <w:rsid w:val="4AF350DE"/>
    <w:rsid w:val="4B113EB7"/>
    <w:rsid w:val="4B3127A6"/>
    <w:rsid w:val="4B5647C6"/>
    <w:rsid w:val="4B726781"/>
    <w:rsid w:val="4B825F06"/>
    <w:rsid w:val="4B9D56FF"/>
    <w:rsid w:val="4BEA2EA8"/>
    <w:rsid w:val="4C0D46FC"/>
    <w:rsid w:val="4C290139"/>
    <w:rsid w:val="4C4A3198"/>
    <w:rsid w:val="4C583BC9"/>
    <w:rsid w:val="4C994F4D"/>
    <w:rsid w:val="4C9D1F42"/>
    <w:rsid w:val="4CF07983"/>
    <w:rsid w:val="4CF907DC"/>
    <w:rsid w:val="4D20713D"/>
    <w:rsid w:val="4D2168A6"/>
    <w:rsid w:val="4D2318FC"/>
    <w:rsid w:val="4D2F4E2E"/>
    <w:rsid w:val="4D3F0EA1"/>
    <w:rsid w:val="4D6B4997"/>
    <w:rsid w:val="4D9A1EB7"/>
    <w:rsid w:val="4DA21D24"/>
    <w:rsid w:val="4DA236B6"/>
    <w:rsid w:val="4DA41222"/>
    <w:rsid w:val="4DAB0C58"/>
    <w:rsid w:val="4DCB7475"/>
    <w:rsid w:val="4DEB57CD"/>
    <w:rsid w:val="4DF27705"/>
    <w:rsid w:val="4E4F076C"/>
    <w:rsid w:val="4EFF657E"/>
    <w:rsid w:val="4F083A0C"/>
    <w:rsid w:val="4F1C3A1A"/>
    <w:rsid w:val="4F4B1110"/>
    <w:rsid w:val="50041415"/>
    <w:rsid w:val="503B57CA"/>
    <w:rsid w:val="50586B39"/>
    <w:rsid w:val="50811B32"/>
    <w:rsid w:val="508F2035"/>
    <w:rsid w:val="50AE7376"/>
    <w:rsid w:val="50C40748"/>
    <w:rsid w:val="51121E6C"/>
    <w:rsid w:val="515C24FC"/>
    <w:rsid w:val="516A7EFA"/>
    <w:rsid w:val="516D4E7D"/>
    <w:rsid w:val="516E081B"/>
    <w:rsid w:val="51851D47"/>
    <w:rsid w:val="51AE6D34"/>
    <w:rsid w:val="51C27D36"/>
    <w:rsid w:val="521B4778"/>
    <w:rsid w:val="52280EFF"/>
    <w:rsid w:val="52287B99"/>
    <w:rsid w:val="522E3407"/>
    <w:rsid w:val="523B4A36"/>
    <w:rsid w:val="52461B27"/>
    <w:rsid w:val="52481FEA"/>
    <w:rsid w:val="527903F5"/>
    <w:rsid w:val="529822AA"/>
    <w:rsid w:val="529D7230"/>
    <w:rsid w:val="52A766E1"/>
    <w:rsid w:val="531E39CD"/>
    <w:rsid w:val="536A2674"/>
    <w:rsid w:val="53952A75"/>
    <w:rsid w:val="53B4545D"/>
    <w:rsid w:val="53BA13C1"/>
    <w:rsid w:val="543A02AC"/>
    <w:rsid w:val="544E765F"/>
    <w:rsid w:val="547E521D"/>
    <w:rsid w:val="54BE11AD"/>
    <w:rsid w:val="54C946F1"/>
    <w:rsid w:val="54FA2736"/>
    <w:rsid w:val="557A7FD8"/>
    <w:rsid w:val="55884597"/>
    <w:rsid w:val="55997370"/>
    <w:rsid w:val="559E63C4"/>
    <w:rsid w:val="55AA2FBB"/>
    <w:rsid w:val="55AB1B25"/>
    <w:rsid w:val="55CC644B"/>
    <w:rsid w:val="55E73DE6"/>
    <w:rsid w:val="5616545C"/>
    <w:rsid w:val="563046AC"/>
    <w:rsid w:val="56535E9D"/>
    <w:rsid w:val="566664A3"/>
    <w:rsid w:val="567C6E21"/>
    <w:rsid w:val="568A72E9"/>
    <w:rsid w:val="56C63E25"/>
    <w:rsid w:val="56D87AF5"/>
    <w:rsid w:val="56F20776"/>
    <w:rsid w:val="56FB50C2"/>
    <w:rsid w:val="57236C50"/>
    <w:rsid w:val="57776ECD"/>
    <w:rsid w:val="578E6F21"/>
    <w:rsid w:val="57CC0FC7"/>
    <w:rsid w:val="580575F6"/>
    <w:rsid w:val="580959AE"/>
    <w:rsid w:val="580B4E7B"/>
    <w:rsid w:val="582C7CB7"/>
    <w:rsid w:val="585D0271"/>
    <w:rsid w:val="58661910"/>
    <w:rsid w:val="589F0489"/>
    <w:rsid w:val="58B949C2"/>
    <w:rsid w:val="58CC03BF"/>
    <w:rsid w:val="58EC566C"/>
    <w:rsid w:val="592E33EE"/>
    <w:rsid w:val="59344B1B"/>
    <w:rsid w:val="593730A6"/>
    <w:rsid w:val="594006C5"/>
    <w:rsid w:val="596015AA"/>
    <w:rsid w:val="596A75AC"/>
    <w:rsid w:val="59DD4A93"/>
    <w:rsid w:val="5A241579"/>
    <w:rsid w:val="5AAD1584"/>
    <w:rsid w:val="5AF22ED6"/>
    <w:rsid w:val="5AFF16B3"/>
    <w:rsid w:val="5B1A5B33"/>
    <w:rsid w:val="5B7C07E8"/>
    <w:rsid w:val="5BAF4E87"/>
    <w:rsid w:val="5BB5790E"/>
    <w:rsid w:val="5BB7696B"/>
    <w:rsid w:val="5BE55528"/>
    <w:rsid w:val="5BFF13ED"/>
    <w:rsid w:val="5C054657"/>
    <w:rsid w:val="5C441F61"/>
    <w:rsid w:val="5C451D35"/>
    <w:rsid w:val="5C626C2B"/>
    <w:rsid w:val="5C7424D0"/>
    <w:rsid w:val="5C8F6A67"/>
    <w:rsid w:val="5D135E9A"/>
    <w:rsid w:val="5D375134"/>
    <w:rsid w:val="5D7E7207"/>
    <w:rsid w:val="5D912C18"/>
    <w:rsid w:val="5D9A2E8E"/>
    <w:rsid w:val="5DC20E02"/>
    <w:rsid w:val="5DC2265C"/>
    <w:rsid w:val="5DCB16D1"/>
    <w:rsid w:val="5E127950"/>
    <w:rsid w:val="5E3757FA"/>
    <w:rsid w:val="5E491171"/>
    <w:rsid w:val="5E4E0AF9"/>
    <w:rsid w:val="5E7A2598"/>
    <w:rsid w:val="5E802B0B"/>
    <w:rsid w:val="5E826883"/>
    <w:rsid w:val="5ED2780B"/>
    <w:rsid w:val="5F00458D"/>
    <w:rsid w:val="5F0104A8"/>
    <w:rsid w:val="5F287C61"/>
    <w:rsid w:val="5F334021"/>
    <w:rsid w:val="5F8403D9"/>
    <w:rsid w:val="5FAF1A92"/>
    <w:rsid w:val="5FFC4D22"/>
    <w:rsid w:val="602914B3"/>
    <w:rsid w:val="604A7D3E"/>
    <w:rsid w:val="60A346E0"/>
    <w:rsid w:val="614957FD"/>
    <w:rsid w:val="61834DEC"/>
    <w:rsid w:val="62087B8C"/>
    <w:rsid w:val="620D6DAC"/>
    <w:rsid w:val="621B3277"/>
    <w:rsid w:val="62485641"/>
    <w:rsid w:val="625F5CA8"/>
    <w:rsid w:val="6267321B"/>
    <w:rsid w:val="62D86309"/>
    <w:rsid w:val="62E30FF8"/>
    <w:rsid w:val="62F877B9"/>
    <w:rsid w:val="63096CAD"/>
    <w:rsid w:val="63473BF7"/>
    <w:rsid w:val="63AA3CCE"/>
    <w:rsid w:val="63DC6A36"/>
    <w:rsid w:val="63E8362C"/>
    <w:rsid w:val="63EB4ECB"/>
    <w:rsid w:val="63EC014F"/>
    <w:rsid w:val="64317D60"/>
    <w:rsid w:val="64677673"/>
    <w:rsid w:val="647D6C20"/>
    <w:rsid w:val="6482427B"/>
    <w:rsid w:val="64D56443"/>
    <w:rsid w:val="65183AA3"/>
    <w:rsid w:val="654E525A"/>
    <w:rsid w:val="65591DAB"/>
    <w:rsid w:val="656B46CF"/>
    <w:rsid w:val="65A25A5D"/>
    <w:rsid w:val="65B724FF"/>
    <w:rsid w:val="65C634F9"/>
    <w:rsid w:val="65E8734C"/>
    <w:rsid w:val="662621EA"/>
    <w:rsid w:val="665B4E2C"/>
    <w:rsid w:val="668A1206"/>
    <w:rsid w:val="668F7D8F"/>
    <w:rsid w:val="671C5B08"/>
    <w:rsid w:val="672C3830"/>
    <w:rsid w:val="67447CF6"/>
    <w:rsid w:val="67616BD8"/>
    <w:rsid w:val="679D028A"/>
    <w:rsid w:val="67A552B7"/>
    <w:rsid w:val="67AA29A7"/>
    <w:rsid w:val="67CD5013"/>
    <w:rsid w:val="68043E95"/>
    <w:rsid w:val="680851F4"/>
    <w:rsid w:val="681A2338"/>
    <w:rsid w:val="6866427A"/>
    <w:rsid w:val="686B0388"/>
    <w:rsid w:val="68821CC5"/>
    <w:rsid w:val="68843049"/>
    <w:rsid w:val="68CC1914"/>
    <w:rsid w:val="68F47BF7"/>
    <w:rsid w:val="690B02EE"/>
    <w:rsid w:val="690E2177"/>
    <w:rsid w:val="693912D2"/>
    <w:rsid w:val="694F2375"/>
    <w:rsid w:val="696838FF"/>
    <w:rsid w:val="69831701"/>
    <w:rsid w:val="69AC0C58"/>
    <w:rsid w:val="69C274C7"/>
    <w:rsid w:val="6A411085"/>
    <w:rsid w:val="6AE3517D"/>
    <w:rsid w:val="6B2917A5"/>
    <w:rsid w:val="6B883B49"/>
    <w:rsid w:val="6BB43DF4"/>
    <w:rsid w:val="6BDF70C3"/>
    <w:rsid w:val="6C0C7A8D"/>
    <w:rsid w:val="6C2A4B84"/>
    <w:rsid w:val="6C3C385D"/>
    <w:rsid w:val="6C434291"/>
    <w:rsid w:val="6C727F37"/>
    <w:rsid w:val="6CCC0825"/>
    <w:rsid w:val="6CD23406"/>
    <w:rsid w:val="6CF52916"/>
    <w:rsid w:val="6D090170"/>
    <w:rsid w:val="6D1303A1"/>
    <w:rsid w:val="6D2F407A"/>
    <w:rsid w:val="6D2F420B"/>
    <w:rsid w:val="6D3276C6"/>
    <w:rsid w:val="6D4C0A57"/>
    <w:rsid w:val="6D712A26"/>
    <w:rsid w:val="6D914DB3"/>
    <w:rsid w:val="6DDD6AE0"/>
    <w:rsid w:val="6DEC5AC7"/>
    <w:rsid w:val="6E443B55"/>
    <w:rsid w:val="6E545062"/>
    <w:rsid w:val="6E657628"/>
    <w:rsid w:val="6E8757F0"/>
    <w:rsid w:val="6E8D72AA"/>
    <w:rsid w:val="6EC111D9"/>
    <w:rsid w:val="6EE90468"/>
    <w:rsid w:val="6F060E8D"/>
    <w:rsid w:val="6F125B02"/>
    <w:rsid w:val="6F210FA8"/>
    <w:rsid w:val="6F2600BD"/>
    <w:rsid w:val="6F343BCA"/>
    <w:rsid w:val="6F5E47A3"/>
    <w:rsid w:val="6F753C7B"/>
    <w:rsid w:val="6F7D4A5D"/>
    <w:rsid w:val="6F884880"/>
    <w:rsid w:val="6F911B3F"/>
    <w:rsid w:val="6FA759AE"/>
    <w:rsid w:val="6FAC65EE"/>
    <w:rsid w:val="6FB62831"/>
    <w:rsid w:val="700A4806"/>
    <w:rsid w:val="70484440"/>
    <w:rsid w:val="70585696"/>
    <w:rsid w:val="709A550D"/>
    <w:rsid w:val="70A95AA7"/>
    <w:rsid w:val="70C61839"/>
    <w:rsid w:val="70C679A7"/>
    <w:rsid w:val="70FF68C8"/>
    <w:rsid w:val="710D5D9E"/>
    <w:rsid w:val="712F4C28"/>
    <w:rsid w:val="71325C1A"/>
    <w:rsid w:val="7143434F"/>
    <w:rsid w:val="718A0F92"/>
    <w:rsid w:val="71940367"/>
    <w:rsid w:val="71DF1F00"/>
    <w:rsid w:val="71E11516"/>
    <w:rsid w:val="71F4319C"/>
    <w:rsid w:val="725C4FBE"/>
    <w:rsid w:val="727F0905"/>
    <w:rsid w:val="728E539F"/>
    <w:rsid w:val="72B312A9"/>
    <w:rsid w:val="72C708B1"/>
    <w:rsid w:val="73012CA9"/>
    <w:rsid w:val="730833A3"/>
    <w:rsid w:val="73165394"/>
    <w:rsid w:val="734B3186"/>
    <w:rsid w:val="735406E5"/>
    <w:rsid w:val="73866EC6"/>
    <w:rsid w:val="739D7041"/>
    <w:rsid w:val="73B73966"/>
    <w:rsid w:val="73D2575F"/>
    <w:rsid w:val="73FD191D"/>
    <w:rsid w:val="74003DC2"/>
    <w:rsid w:val="74063762"/>
    <w:rsid w:val="74277859"/>
    <w:rsid w:val="743B1556"/>
    <w:rsid w:val="74721F92"/>
    <w:rsid w:val="74807A62"/>
    <w:rsid w:val="74A8784E"/>
    <w:rsid w:val="74AF5AA0"/>
    <w:rsid w:val="74F86411"/>
    <w:rsid w:val="751F2C26"/>
    <w:rsid w:val="7548217D"/>
    <w:rsid w:val="75D5414A"/>
    <w:rsid w:val="75E90518"/>
    <w:rsid w:val="760612FE"/>
    <w:rsid w:val="76326989"/>
    <w:rsid w:val="764E3F42"/>
    <w:rsid w:val="76634D94"/>
    <w:rsid w:val="76A85EEF"/>
    <w:rsid w:val="76F12774"/>
    <w:rsid w:val="775A6197"/>
    <w:rsid w:val="77860258"/>
    <w:rsid w:val="77B34851"/>
    <w:rsid w:val="77C83CDC"/>
    <w:rsid w:val="77ED5914"/>
    <w:rsid w:val="780600CD"/>
    <w:rsid w:val="783E3415"/>
    <w:rsid w:val="78592DB6"/>
    <w:rsid w:val="7878159A"/>
    <w:rsid w:val="788359C0"/>
    <w:rsid w:val="78CD2F4A"/>
    <w:rsid w:val="793772DB"/>
    <w:rsid w:val="795C6A25"/>
    <w:rsid w:val="79A35196"/>
    <w:rsid w:val="7A0C3049"/>
    <w:rsid w:val="7A41363F"/>
    <w:rsid w:val="7A5114C1"/>
    <w:rsid w:val="7A6B5BE5"/>
    <w:rsid w:val="7AC202DC"/>
    <w:rsid w:val="7ACE611F"/>
    <w:rsid w:val="7B2E5B8B"/>
    <w:rsid w:val="7B871525"/>
    <w:rsid w:val="7B9A2A57"/>
    <w:rsid w:val="7BC71332"/>
    <w:rsid w:val="7BCB4BEA"/>
    <w:rsid w:val="7BDF06D0"/>
    <w:rsid w:val="7BF704E9"/>
    <w:rsid w:val="7C0152F6"/>
    <w:rsid w:val="7C0E5B7C"/>
    <w:rsid w:val="7C2A4657"/>
    <w:rsid w:val="7C2D3030"/>
    <w:rsid w:val="7C2F73F0"/>
    <w:rsid w:val="7C9B5288"/>
    <w:rsid w:val="7CAB5564"/>
    <w:rsid w:val="7CBA6FE1"/>
    <w:rsid w:val="7CD47394"/>
    <w:rsid w:val="7CD72961"/>
    <w:rsid w:val="7CF505C4"/>
    <w:rsid w:val="7CFB5D27"/>
    <w:rsid w:val="7D1E7546"/>
    <w:rsid w:val="7D2B70C2"/>
    <w:rsid w:val="7D4608BF"/>
    <w:rsid w:val="7D475E29"/>
    <w:rsid w:val="7D904B2C"/>
    <w:rsid w:val="7DD141C0"/>
    <w:rsid w:val="7DDA1B02"/>
    <w:rsid w:val="7E130F14"/>
    <w:rsid w:val="7E2C28DA"/>
    <w:rsid w:val="7E462FD2"/>
    <w:rsid w:val="7E5E6FCF"/>
    <w:rsid w:val="7F37E1F5"/>
    <w:rsid w:val="7F600EB3"/>
    <w:rsid w:val="7F852340"/>
    <w:rsid w:val="7FA13B61"/>
    <w:rsid w:val="7FCE507C"/>
    <w:rsid w:val="7FD50AB1"/>
    <w:rsid w:val="FFB7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5"/>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napToGrid w:val="0"/>
      <w:spacing w:after="120" w:line="360" w:lineRule="auto"/>
      <w:ind w:firstLine="200" w:firstLineChars="200"/>
    </w:pPr>
    <w:rPr>
      <w:sz w:val="24"/>
      <w:lang w:val="zh-CN"/>
    </w:rPr>
  </w:style>
  <w:style w:type="paragraph" w:styleId="6">
    <w:name w:val="toc 3"/>
    <w:basedOn w:val="1"/>
    <w:next w:val="1"/>
    <w:unhideWhenUsed/>
    <w:qFormat/>
    <w:uiPriority w:val="39"/>
    <w:pPr>
      <w:spacing w:line="240" w:lineRule="auto"/>
      <w:ind w:left="840" w:leftChars="400"/>
    </w:pPr>
    <w:rPr>
      <w:rFonts w:asciiTheme="minorHAnsi" w:hAnsiTheme="minorHAnsi" w:eastAsiaTheme="minorEastAsia" w:cstheme="minorBidi"/>
    </w:rPr>
  </w:style>
  <w:style w:type="paragraph" w:styleId="7">
    <w:name w:val="Plain Text"/>
    <w:basedOn w:val="1"/>
    <w:qFormat/>
    <w:uiPriority w:val="0"/>
    <w:rPr>
      <w:rFonts w:ascii="宋体" w:hAnsi="Courier New" w:cs="Courier New"/>
      <w:szCs w:val="21"/>
    </w:rPr>
  </w:style>
  <w:style w:type="paragraph" w:styleId="8">
    <w:name w:val="footer"/>
    <w:basedOn w:val="1"/>
    <w:link w:val="17"/>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0">
    <w:name w:val="toc 1"/>
    <w:basedOn w:val="1"/>
    <w:next w:val="1"/>
    <w:link w:val="36"/>
    <w:unhideWhenUsed/>
    <w:qFormat/>
    <w:uiPriority w:val="39"/>
    <w:pPr>
      <w:tabs>
        <w:tab w:val="left" w:pos="1050"/>
        <w:tab w:val="right" w:leader="dot" w:pos="13948"/>
      </w:tabs>
      <w:spacing w:line="240" w:lineRule="auto"/>
      <w:ind w:firstLine="480"/>
    </w:pPr>
    <w:rPr>
      <w:rFonts w:asciiTheme="minorHAnsi" w:hAnsiTheme="minorHAnsi" w:eastAsiaTheme="minorEastAsia" w:cstheme="minorBidi"/>
    </w:rPr>
  </w:style>
  <w:style w:type="paragraph" w:styleId="11">
    <w:name w:val="toc 2"/>
    <w:basedOn w:val="1"/>
    <w:next w:val="1"/>
    <w:unhideWhenUsed/>
    <w:qFormat/>
    <w:uiPriority w:val="39"/>
    <w:pPr>
      <w:spacing w:line="240" w:lineRule="auto"/>
      <w:ind w:left="420" w:leftChars="200"/>
    </w:pPr>
    <w:rPr>
      <w:rFonts w:asciiTheme="minorHAnsi" w:hAnsiTheme="minorHAnsi" w:eastAsiaTheme="minorEastAsia" w:cstheme="minorBidi"/>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99"/>
    <w:rPr>
      <w:color w:val="0000FF"/>
      <w:u w:val="single"/>
    </w:rPr>
  </w:style>
  <w:style w:type="character" w:customStyle="1" w:styleId="16">
    <w:name w:val="页眉 字符"/>
    <w:basedOn w:val="14"/>
    <w:link w:val="9"/>
    <w:qFormat/>
    <w:uiPriority w:val="99"/>
    <w:rPr>
      <w:sz w:val="18"/>
      <w:szCs w:val="18"/>
    </w:rPr>
  </w:style>
  <w:style w:type="character" w:customStyle="1" w:styleId="17">
    <w:name w:val="页脚 字符"/>
    <w:basedOn w:val="14"/>
    <w:link w:val="8"/>
    <w:qFormat/>
    <w:uiPriority w:val="99"/>
    <w:rPr>
      <w:sz w:val="18"/>
      <w:szCs w:val="18"/>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标准标志"/>
    <w:basedOn w:val="18"/>
    <w:next w:val="18"/>
    <w:qFormat/>
    <w:uiPriority w:val="99"/>
    <w:rPr>
      <w:color w:val="auto"/>
    </w:rPr>
  </w:style>
  <w:style w:type="paragraph" w:customStyle="1" w:styleId="20">
    <w:name w:val="其他标准称谓"/>
    <w:basedOn w:val="18"/>
    <w:next w:val="18"/>
    <w:qFormat/>
    <w:uiPriority w:val="99"/>
    <w:rPr>
      <w:color w:val="auto"/>
    </w:rPr>
  </w:style>
  <w:style w:type="paragraph" w:customStyle="1" w:styleId="21">
    <w:name w:val="TOC 标题3"/>
    <w:basedOn w:val="3"/>
    <w:next w:val="1"/>
    <w:unhideWhenUsed/>
    <w:qFormat/>
    <w:uiPriority w:val="39"/>
    <w:pPr>
      <w:outlineLvl w:val="9"/>
    </w:pPr>
  </w:style>
  <w:style w:type="character" w:customStyle="1" w:styleId="22">
    <w:name w:val="标题 1 字符"/>
    <w:basedOn w:val="14"/>
    <w:link w:val="3"/>
    <w:qFormat/>
    <w:uiPriority w:val="9"/>
    <w:rPr>
      <w:rFonts w:ascii="Times New Roman" w:hAnsi="Times New Roman" w:eastAsia="宋体" w:cs="Times New Roman"/>
      <w:b/>
      <w:bCs/>
      <w:kern w:val="44"/>
      <w:sz w:val="44"/>
      <w:szCs w:val="44"/>
    </w:rPr>
  </w:style>
  <w:style w:type="character" w:customStyle="1" w:styleId="23">
    <w:name w:val="标题 2 字符"/>
    <w:basedOn w:val="14"/>
    <w:link w:val="4"/>
    <w:semiHidden/>
    <w:qFormat/>
    <w:uiPriority w:val="0"/>
    <w:rPr>
      <w:rFonts w:asciiTheme="majorHAnsi" w:hAnsiTheme="majorHAnsi" w:eastAsiaTheme="majorEastAsia" w:cstheme="majorBidi"/>
      <w:b/>
      <w:bCs/>
      <w:sz w:val="32"/>
      <w:szCs w:val="32"/>
    </w:rPr>
  </w:style>
  <w:style w:type="character" w:styleId="24">
    <w:name w:val="Placeholder Text"/>
    <w:basedOn w:val="14"/>
    <w:semiHidden/>
    <w:qFormat/>
    <w:uiPriority w:val="99"/>
    <w:rPr>
      <w:color w:val="808080"/>
    </w:rPr>
  </w:style>
  <w:style w:type="character" w:customStyle="1" w:styleId="25">
    <w:name w:val="标题 3 字符"/>
    <w:basedOn w:val="14"/>
    <w:link w:val="5"/>
    <w:qFormat/>
    <w:uiPriority w:val="0"/>
    <w:rPr>
      <w:b/>
      <w:bCs/>
      <w:sz w:val="32"/>
      <w:szCs w:val="32"/>
    </w:rPr>
  </w:style>
  <w:style w:type="paragraph" w:styleId="26">
    <w:name w:val="List Paragraph"/>
    <w:basedOn w:val="1"/>
    <w:qFormat/>
    <w:uiPriority w:val="34"/>
    <w:pPr>
      <w:ind w:firstLine="420" w:firstLineChars="200"/>
    </w:pPr>
  </w:style>
  <w:style w:type="paragraph" w:customStyle="1" w:styleId="27">
    <w:name w:val="正文标题"/>
    <w:basedOn w:val="1"/>
    <w:qFormat/>
    <w:uiPriority w:val="0"/>
    <w:pPr>
      <w:spacing w:line="360" w:lineRule="auto"/>
    </w:pPr>
    <w:rPr>
      <w:rFonts w:cstheme="minorBidi"/>
      <w:sz w:val="24"/>
      <w:szCs w:val="22"/>
    </w:rPr>
  </w:style>
  <w:style w:type="character" w:customStyle="1" w:styleId="28">
    <w:name w:val="src"/>
    <w:basedOn w:val="14"/>
    <w:qFormat/>
    <w:uiPriority w:val="0"/>
  </w:style>
  <w:style w:type="table" w:customStyle="1" w:styleId="29">
    <w:name w:val="网格型3"/>
    <w:basedOn w:val="12"/>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30">
    <w:name w:val="网格型11"/>
    <w:basedOn w:val="12"/>
    <w:qFormat/>
    <w:uiPriority w:val="0"/>
    <w:rPr>
      <w:rFonts w:ascii="Times New Roman" w:hAnsi="Times New Roman"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2"/>
    <w:basedOn w:val="12"/>
    <w:qFormat/>
    <w:uiPriority w:val="3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table" w:customStyle="1" w:styleId="33">
    <w:name w:val="网格型4"/>
    <w:basedOn w:val="1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character" w:customStyle="1" w:styleId="36">
    <w:name w:val="目录 1 Char"/>
    <w:link w:val="10"/>
    <w:qFormat/>
    <w:uiPriority w:val="39"/>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30188</Words>
  <Characters>33764</Characters>
  <Lines>21</Lines>
  <Paragraphs>5</Paragraphs>
  <TotalTime>18</TotalTime>
  <ScaleCrop>false</ScaleCrop>
  <LinksUpToDate>false</LinksUpToDate>
  <CharactersWithSpaces>36174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2021-11-18T18:45:00Z</dcterms:created>
  <dc:creator>天予 陈</dc:creator>
  <cp:lastModifiedBy>nielu</cp:lastModifiedBy>
  <dcterms:modified xsi:type="dcterms:W3CDTF">2024-03-12T10:35:39Z</dcterms:modified>
  <cp:revision>273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B6AA943BEC1F48B8B141543CC5D85BC3</vt:lpwstr>
  </property>
</Properties>
</file>